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997A75" w:rsidP="00F677EF">
      <w:pPr>
        <w:jc w:val="center"/>
        <w:rPr>
          <w:rFonts w:ascii="Arial" w:hAnsi="Arial" w:cs="Arial"/>
          <w:b/>
        </w:rPr>
      </w:pP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5F682E" w:rsidRPr="00E8207B" w:rsidRDefault="00DA4C9A" w:rsidP="005F682E">
      <w:pPr>
        <w:spacing w:after="0" w:line="240" w:lineRule="auto"/>
        <w:jc w:val="center"/>
        <w:rPr>
          <w:rFonts w:ascii="Arial" w:hAnsi="Arial" w:cs="Arial"/>
          <w:b/>
          <w:i/>
          <w:sz w:val="50"/>
          <w:szCs w:val="50"/>
        </w:rPr>
      </w:pPr>
      <w:r w:rsidRPr="00E8207B">
        <w:rPr>
          <w:rFonts w:ascii="Arial" w:hAnsi="Arial" w:cs="Arial"/>
          <w:b/>
          <w:i/>
          <w:sz w:val="50"/>
          <w:szCs w:val="50"/>
        </w:rPr>
        <w:t xml:space="preserve">Fluidi </w:t>
      </w:r>
      <w:proofErr w:type="spellStart"/>
      <w:r w:rsidRPr="00E8207B">
        <w:rPr>
          <w:rFonts w:ascii="Arial" w:hAnsi="Arial" w:cs="Arial"/>
          <w:b/>
          <w:i/>
          <w:sz w:val="50"/>
          <w:szCs w:val="50"/>
        </w:rPr>
        <w:t>lubrorefrigeranti</w:t>
      </w:r>
      <w:proofErr w:type="spellEnd"/>
      <w:r w:rsidRPr="00E8207B">
        <w:rPr>
          <w:rFonts w:ascii="Arial" w:hAnsi="Arial" w:cs="Arial"/>
          <w:b/>
          <w:i/>
          <w:sz w:val="50"/>
          <w:szCs w:val="50"/>
        </w:rPr>
        <w:t xml:space="preserve"> solubili </w:t>
      </w:r>
    </w:p>
    <w:p w:rsidR="00DA4C9A" w:rsidRPr="005F682E" w:rsidRDefault="00DA4C9A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proofErr w:type="spellStart"/>
      <w:r w:rsidRPr="00E8207B">
        <w:rPr>
          <w:rFonts w:ascii="Arial" w:hAnsi="Arial" w:cs="Arial"/>
          <w:b/>
          <w:i/>
          <w:sz w:val="50"/>
          <w:szCs w:val="50"/>
        </w:rPr>
        <w:t>Performa</w:t>
      </w:r>
      <w:proofErr w:type="spellEnd"/>
      <w:r w:rsidR="005F682E"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DA4C9A" w:rsidRPr="00E8207B" w:rsidRDefault="00522C97" w:rsidP="005F682E">
      <w:pPr>
        <w:spacing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con base proveniente da fonti rinnovabili</w:t>
      </w: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151F0F" w:rsidRPr="00151F0F" w:rsidRDefault="00151F0F" w:rsidP="00151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1"/>
        </w:rPr>
      </w:pPr>
      <w:r w:rsidRPr="00151F0F">
        <w:rPr>
          <w:rFonts w:ascii="Arial" w:hAnsi="Arial" w:cs="Arial"/>
          <w:b/>
          <w:bCs/>
          <w:sz w:val="20"/>
          <w:szCs w:val="21"/>
        </w:rPr>
        <w:t>Caratteristiche Principali</w:t>
      </w:r>
    </w:p>
    <w:p w:rsidR="00151F0F" w:rsidRPr="00151F0F" w:rsidRDefault="00151F0F" w:rsidP="00151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1"/>
        </w:rPr>
      </w:pPr>
    </w:p>
    <w:p w:rsidR="00151F0F" w:rsidRPr="00151F0F" w:rsidRDefault="00151F0F" w:rsidP="00151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1"/>
        </w:rPr>
      </w:pPr>
      <w:r w:rsidRPr="00151F0F">
        <w:rPr>
          <w:rFonts w:ascii="Arial" w:hAnsi="Arial" w:cs="Arial"/>
          <w:sz w:val="20"/>
          <w:szCs w:val="21"/>
        </w:rPr>
        <w:t xml:space="preserve">I </w:t>
      </w:r>
      <w:proofErr w:type="spellStart"/>
      <w:r w:rsidRPr="00151F0F">
        <w:rPr>
          <w:rFonts w:ascii="Arial" w:hAnsi="Arial" w:cs="Arial"/>
          <w:sz w:val="20"/>
          <w:szCs w:val="21"/>
        </w:rPr>
        <w:t>lubrorefrigeranti</w:t>
      </w:r>
      <w:proofErr w:type="spellEnd"/>
      <w:r w:rsidRPr="00151F0F">
        <w:rPr>
          <w:rFonts w:ascii="Arial" w:hAnsi="Arial" w:cs="Arial"/>
          <w:sz w:val="20"/>
          <w:szCs w:val="21"/>
        </w:rPr>
        <w:t xml:space="preserve"> a base vegetale </w:t>
      </w:r>
      <w:proofErr w:type="spellStart"/>
      <w:r w:rsidRPr="00151F0F">
        <w:rPr>
          <w:rFonts w:ascii="Arial" w:hAnsi="Arial" w:cs="Arial"/>
          <w:sz w:val="20"/>
          <w:szCs w:val="21"/>
        </w:rPr>
        <w:t>Performa</w:t>
      </w:r>
      <w:proofErr w:type="spellEnd"/>
      <w:r w:rsidRPr="00151F0F">
        <w:rPr>
          <w:rFonts w:ascii="Arial" w:hAnsi="Arial" w:cs="Arial"/>
          <w:sz w:val="20"/>
          <w:szCs w:val="21"/>
        </w:rPr>
        <w:t xml:space="preserve"> sono formulati per migliorare l'impatto ambientale, salvaguardare la salute degli operatori, garantire alte prestazioni durante le lavorazioni di taglio. Sono formulati multifunzionali, con oli base provenienti da fonti rinnovabili e senza etichettatura di rischio.</w:t>
      </w:r>
    </w:p>
    <w:p w:rsidR="00151F0F" w:rsidRPr="00151F0F" w:rsidRDefault="00151F0F" w:rsidP="00151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1"/>
        </w:rPr>
      </w:pPr>
    </w:p>
    <w:p w:rsidR="00151F0F" w:rsidRPr="00151F0F" w:rsidRDefault="00151F0F" w:rsidP="00151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1"/>
        </w:rPr>
      </w:pPr>
      <w:r w:rsidRPr="00151F0F">
        <w:rPr>
          <w:rFonts w:ascii="Arial" w:hAnsi="Arial" w:cs="Arial"/>
          <w:b/>
          <w:bCs/>
          <w:sz w:val="20"/>
          <w:szCs w:val="21"/>
        </w:rPr>
        <w:t xml:space="preserve">I </w:t>
      </w:r>
      <w:proofErr w:type="spellStart"/>
      <w:r w:rsidRPr="00151F0F">
        <w:rPr>
          <w:rFonts w:ascii="Arial" w:hAnsi="Arial" w:cs="Arial"/>
          <w:b/>
          <w:bCs/>
          <w:sz w:val="20"/>
          <w:szCs w:val="21"/>
        </w:rPr>
        <w:t>lubrorefrigeranti</w:t>
      </w:r>
      <w:proofErr w:type="spellEnd"/>
      <w:r w:rsidRPr="00151F0F">
        <w:rPr>
          <w:rFonts w:ascii="Arial" w:hAnsi="Arial" w:cs="Arial"/>
          <w:b/>
          <w:bCs/>
          <w:sz w:val="20"/>
          <w:szCs w:val="21"/>
        </w:rPr>
        <w:t xml:space="preserve"> a base vegetale </w:t>
      </w:r>
      <w:proofErr w:type="spellStart"/>
      <w:r w:rsidRPr="00151F0F">
        <w:rPr>
          <w:rFonts w:ascii="Arial" w:hAnsi="Arial" w:cs="Arial"/>
          <w:b/>
          <w:bCs/>
          <w:sz w:val="20"/>
          <w:szCs w:val="21"/>
        </w:rPr>
        <w:t>Performa</w:t>
      </w:r>
      <w:proofErr w:type="spellEnd"/>
      <w:r w:rsidRPr="00151F0F">
        <w:rPr>
          <w:rFonts w:ascii="Arial" w:hAnsi="Arial" w:cs="Arial"/>
          <w:b/>
          <w:bCs/>
          <w:sz w:val="20"/>
          <w:szCs w:val="21"/>
        </w:rPr>
        <w:t xml:space="preserve"> hanno le seguenti caratteristiche:</w:t>
      </w:r>
    </w:p>
    <w:p w:rsidR="00151F0F" w:rsidRPr="00151F0F" w:rsidRDefault="00151F0F" w:rsidP="00151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1"/>
        </w:rPr>
      </w:pPr>
      <w:r w:rsidRPr="00151F0F">
        <w:rPr>
          <w:rFonts w:ascii="Arial" w:hAnsi="Arial" w:cs="Arial"/>
          <w:sz w:val="20"/>
          <w:szCs w:val="21"/>
        </w:rPr>
        <w:t>- biodegradabilità</w:t>
      </w:r>
    </w:p>
    <w:p w:rsidR="00151F0F" w:rsidRPr="00151F0F" w:rsidRDefault="00151F0F" w:rsidP="00151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1"/>
        </w:rPr>
      </w:pPr>
      <w:r w:rsidRPr="00151F0F">
        <w:rPr>
          <w:rFonts w:ascii="Arial" w:hAnsi="Arial" w:cs="Arial"/>
          <w:sz w:val="20"/>
          <w:szCs w:val="21"/>
        </w:rPr>
        <w:t>- polarità delle molecole</w:t>
      </w:r>
    </w:p>
    <w:p w:rsidR="00151F0F" w:rsidRPr="00151F0F" w:rsidRDefault="00151F0F" w:rsidP="00151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1"/>
        </w:rPr>
      </w:pPr>
      <w:r w:rsidRPr="00151F0F">
        <w:rPr>
          <w:rFonts w:ascii="Arial" w:hAnsi="Arial" w:cs="Arial"/>
          <w:sz w:val="20"/>
          <w:szCs w:val="21"/>
        </w:rPr>
        <w:t xml:space="preserve">- esenti da </w:t>
      </w:r>
      <w:proofErr w:type="spellStart"/>
      <w:r w:rsidRPr="00151F0F">
        <w:rPr>
          <w:rFonts w:ascii="Arial" w:hAnsi="Arial" w:cs="Arial"/>
          <w:sz w:val="20"/>
          <w:szCs w:val="21"/>
        </w:rPr>
        <w:t>dietanolammina</w:t>
      </w:r>
      <w:proofErr w:type="spellEnd"/>
    </w:p>
    <w:p w:rsidR="00151F0F" w:rsidRPr="00151F0F" w:rsidRDefault="00151F0F" w:rsidP="00151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1"/>
        </w:rPr>
      </w:pPr>
      <w:r w:rsidRPr="00151F0F">
        <w:rPr>
          <w:rFonts w:ascii="Arial" w:hAnsi="Arial" w:cs="Arial"/>
          <w:sz w:val="20"/>
          <w:szCs w:val="21"/>
        </w:rPr>
        <w:t xml:space="preserve">- fortemente resistenti ad attacchi batterici, nonostante siano privi di battericidi </w:t>
      </w:r>
      <w:proofErr w:type="spellStart"/>
      <w:r w:rsidRPr="00151F0F">
        <w:rPr>
          <w:rFonts w:ascii="Arial" w:hAnsi="Arial" w:cs="Arial"/>
          <w:sz w:val="20"/>
          <w:szCs w:val="21"/>
        </w:rPr>
        <w:t>triazinici</w:t>
      </w:r>
      <w:proofErr w:type="spellEnd"/>
    </w:p>
    <w:p w:rsidR="00151F0F" w:rsidRPr="00151F0F" w:rsidRDefault="00151F0F" w:rsidP="00151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1"/>
        </w:rPr>
      </w:pPr>
      <w:r w:rsidRPr="00151F0F">
        <w:rPr>
          <w:rFonts w:ascii="Arial" w:hAnsi="Arial" w:cs="Arial"/>
          <w:sz w:val="20"/>
          <w:szCs w:val="21"/>
        </w:rPr>
        <w:t>- esenti da additivi E.P. clorurati</w:t>
      </w:r>
    </w:p>
    <w:p w:rsidR="00151F0F" w:rsidRPr="00151F0F" w:rsidRDefault="00151F0F" w:rsidP="00151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1"/>
        </w:rPr>
      </w:pPr>
      <w:r w:rsidRPr="00151F0F">
        <w:rPr>
          <w:rFonts w:ascii="Arial" w:hAnsi="Arial" w:cs="Arial"/>
          <w:sz w:val="20"/>
          <w:szCs w:val="21"/>
        </w:rPr>
        <w:t>- elevata tollerabilità cutanea</w:t>
      </w:r>
    </w:p>
    <w:p w:rsidR="00151F0F" w:rsidRPr="00151F0F" w:rsidRDefault="00151F0F" w:rsidP="00151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1"/>
        </w:rPr>
      </w:pPr>
    </w:p>
    <w:p w:rsidR="00151F0F" w:rsidRPr="00151F0F" w:rsidRDefault="00151F0F" w:rsidP="00151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1"/>
        </w:rPr>
      </w:pPr>
      <w:r w:rsidRPr="00151F0F">
        <w:rPr>
          <w:rFonts w:ascii="Arial" w:hAnsi="Arial" w:cs="Arial"/>
          <w:b/>
          <w:bCs/>
          <w:sz w:val="20"/>
          <w:szCs w:val="21"/>
        </w:rPr>
        <w:t xml:space="preserve">I </w:t>
      </w:r>
      <w:proofErr w:type="spellStart"/>
      <w:r w:rsidRPr="00151F0F">
        <w:rPr>
          <w:rFonts w:ascii="Arial" w:hAnsi="Arial" w:cs="Arial"/>
          <w:b/>
          <w:bCs/>
          <w:sz w:val="20"/>
          <w:szCs w:val="21"/>
        </w:rPr>
        <w:t>lubrorefrigeranti</w:t>
      </w:r>
      <w:proofErr w:type="spellEnd"/>
      <w:r w:rsidRPr="00151F0F">
        <w:rPr>
          <w:rFonts w:ascii="Arial" w:hAnsi="Arial" w:cs="Arial"/>
          <w:b/>
          <w:bCs/>
          <w:sz w:val="20"/>
          <w:szCs w:val="21"/>
        </w:rPr>
        <w:t xml:space="preserve"> a base vegetale </w:t>
      </w:r>
      <w:proofErr w:type="spellStart"/>
      <w:r w:rsidRPr="00151F0F">
        <w:rPr>
          <w:rFonts w:ascii="Arial" w:hAnsi="Arial" w:cs="Arial"/>
          <w:b/>
          <w:bCs/>
          <w:sz w:val="20"/>
          <w:szCs w:val="21"/>
        </w:rPr>
        <w:t>Performa</w:t>
      </w:r>
      <w:proofErr w:type="spellEnd"/>
      <w:r w:rsidRPr="00151F0F">
        <w:rPr>
          <w:rFonts w:ascii="Arial" w:hAnsi="Arial" w:cs="Arial"/>
          <w:b/>
          <w:bCs/>
          <w:sz w:val="20"/>
          <w:szCs w:val="21"/>
        </w:rPr>
        <w:t xml:space="preserve"> diluiti in acqua alle concentrazioni d’uso consentono:</w:t>
      </w:r>
    </w:p>
    <w:p w:rsidR="00151F0F" w:rsidRPr="00151F0F" w:rsidRDefault="00151F0F" w:rsidP="00151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1"/>
        </w:rPr>
      </w:pPr>
      <w:r w:rsidRPr="00151F0F">
        <w:rPr>
          <w:rFonts w:ascii="Arial" w:hAnsi="Arial" w:cs="Arial"/>
          <w:sz w:val="20"/>
          <w:szCs w:val="21"/>
        </w:rPr>
        <w:t>- il riciclo in vasche di macchine utensili singole o centralizzate</w:t>
      </w:r>
    </w:p>
    <w:p w:rsidR="00151F0F" w:rsidRPr="00151F0F" w:rsidRDefault="00151F0F" w:rsidP="00151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1"/>
        </w:rPr>
      </w:pPr>
      <w:r w:rsidRPr="00151F0F">
        <w:rPr>
          <w:rFonts w:ascii="Arial" w:hAnsi="Arial" w:cs="Arial"/>
          <w:sz w:val="20"/>
          <w:szCs w:val="21"/>
        </w:rPr>
        <w:t>- la costante stabilità in acque dure</w:t>
      </w:r>
    </w:p>
    <w:p w:rsidR="00151F0F" w:rsidRPr="00151F0F" w:rsidRDefault="00151F0F" w:rsidP="00151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1"/>
        </w:rPr>
      </w:pPr>
      <w:r w:rsidRPr="00151F0F">
        <w:rPr>
          <w:rFonts w:ascii="Arial" w:hAnsi="Arial" w:cs="Arial"/>
          <w:sz w:val="20"/>
          <w:szCs w:val="21"/>
        </w:rPr>
        <w:t>- di non formare schiuma con acque di media durezza</w:t>
      </w:r>
    </w:p>
    <w:p w:rsidR="00151F0F" w:rsidRPr="00151F0F" w:rsidRDefault="00151F0F" w:rsidP="00151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1"/>
        </w:rPr>
      </w:pPr>
      <w:r w:rsidRPr="00151F0F">
        <w:rPr>
          <w:rFonts w:ascii="Arial" w:hAnsi="Arial" w:cs="Arial"/>
          <w:sz w:val="20"/>
          <w:szCs w:val="21"/>
        </w:rPr>
        <w:t>- un aumento delle prestazioni delle macchine utensili</w:t>
      </w:r>
    </w:p>
    <w:p w:rsidR="00151F0F" w:rsidRPr="00151F0F" w:rsidRDefault="00151F0F" w:rsidP="00151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1"/>
        </w:rPr>
      </w:pPr>
      <w:r w:rsidRPr="00151F0F">
        <w:rPr>
          <w:rFonts w:ascii="Arial" w:hAnsi="Arial" w:cs="Arial"/>
          <w:sz w:val="20"/>
          <w:szCs w:val="21"/>
        </w:rPr>
        <w:t>- una riduzione dei consumi di olio</w:t>
      </w:r>
    </w:p>
    <w:p w:rsidR="00151F0F" w:rsidRPr="00151F0F" w:rsidRDefault="00151F0F" w:rsidP="00151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1"/>
        </w:rPr>
      </w:pPr>
      <w:r w:rsidRPr="00151F0F">
        <w:rPr>
          <w:rFonts w:ascii="Arial" w:hAnsi="Arial" w:cs="Arial"/>
          <w:sz w:val="20"/>
          <w:szCs w:val="21"/>
        </w:rPr>
        <w:t>- un’importante riduzione del rischio chimico e/o biologico</w:t>
      </w:r>
    </w:p>
    <w:p w:rsidR="00151F0F" w:rsidRPr="00151F0F" w:rsidRDefault="00151F0F" w:rsidP="00151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1"/>
        </w:rPr>
      </w:pPr>
      <w:r w:rsidRPr="00151F0F">
        <w:rPr>
          <w:rFonts w:ascii="Arial" w:hAnsi="Arial" w:cs="Arial"/>
          <w:sz w:val="20"/>
          <w:szCs w:val="21"/>
        </w:rPr>
        <w:t>- di avere maggior protezione contro l’ossidazione sia sui pezzi lavorati che sulle macchine utensili</w:t>
      </w:r>
    </w:p>
    <w:p w:rsidR="00151F0F" w:rsidRPr="00151F0F" w:rsidRDefault="00151F0F" w:rsidP="00151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1"/>
        </w:rPr>
      </w:pPr>
      <w:r w:rsidRPr="00151F0F">
        <w:rPr>
          <w:rFonts w:ascii="Arial" w:hAnsi="Arial" w:cs="Arial"/>
          <w:sz w:val="20"/>
          <w:szCs w:val="21"/>
        </w:rPr>
        <w:t>- una riduzione dei costi di smaltimento dell’olio</w:t>
      </w:r>
    </w:p>
    <w:p w:rsidR="00151F0F" w:rsidRPr="00151F0F" w:rsidRDefault="00151F0F" w:rsidP="00151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1"/>
        </w:rPr>
      </w:pPr>
    </w:p>
    <w:p w:rsidR="00151F0F" w:rsidRPr="00151F0F" w:rsidRDefault="00151F0F" w:rsidP="00151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1"/>
        </w:rPr>
      </w:pPr>
    </w:p>
    <w:p w:rsidR="00151F0F" w:rsidRPr="00151F0F" w:rsidRDefault="00151F0F" w:rsidP="00151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1"/>
        </w:rPr>
      </w:pPr>
      <w:r w:rsidRPr="00151F0F">
        <w:rPr>
          <w:rFonts w:ascii="Arial" w:hAnsi="Arial" w:cs="Arial"/>
          <w:b/>
          <w:bCs/>
          <w:sz w:val="20"/>
          <w:szCs w:val="21"/>
        </w:rPr>
        <w:t>Campo d’impiego</w:t>
      </w:r>
    </w:p>
    <w:p w:rsidR="00151F0F" w:rsidRPr="00151F0F" w:rsidRDefault="00151F0F" w:rsidP="00151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1"/>
        </w:rPr>
      </w:pPr>
      <w:r w:rsidRPr="00151F0F">
        <w:rPr>
          <w:rFonts w:ascii="Arial" w:hAnsi="Arial" w:cs="Arial"/>
          <w:b/>
          <w:bCs/>
          <w:sz w:val="20"/>
          <w:szCs w:val="21"/>
        </w:rPr>
        <w:t xml:space="preserve"> </w:t>
      </w:r>
    </w:p>
    <w:p w:rsidR="00151F0F" w:rsidRPr="00151F0F" w:rsidRDefault="00151F0F" w:rsidP="00151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1"/>
        </w:rPr>
      </w:pPr>
      <w:r w:rsidRPr="00151F0F">
        <w:rPr>
          <w:rFonts w:ascii="Arial" w:hAnsi="Arial" w:cs="Arial"/>
          <w:b/>
          <w:bCs/>
          <w:sz w:val="20"/>
          <w:szCs w:val="21"/>
        </w:rPr>
        <w:t xml:space="preserve">I </w:t>
      </w:r>
      <w:proofErr w:type="spellStart"/>
      <w:r w:rsidRPr="00151F0F">
        <w:rPr>
          <w:rFonts w:ascii="Arial" w:hAnsi="Arial" w:cs="Arial"/>
          <w:b/>
          <w:bCs/>
          <w:sz w:val="20"/>
          <w:szCs w:val="21"/>
        </w:rPr>
        <w:t>lubrorefrigeranti</w:t>
      </w:r>
      <w:proofErr w:type="spellEnd"/>
      <w:r w:rsidRPr="00151F0F">
        <w:rPr>
          <w:rFonts w:ascii="Arial" w:hAnsi="Arial" w:cs="Arial"/>
          <w:b/>
          <w:bCs/>
          <w:sz w:val="20"/>
          <w:szCs w:val="21"/>
        </w:rPr>
        <w:t xml:space="preserve"> a base vegetale </w:t>
      </w:r>
      <w:proofErr w:type="spellStart"/>
      <w:r w:rsidRPr="00151F0F">
        <w:rPr>
          <w:rFonts w:ascii="Arial" w:hAnsi="Arial" w:cs="Arial"/>
          <w:b/>
          <w:bCs/>
          <w:sz w:val="20"/>
          <w:szCs w:val="21"/>
        </w:rPr>
        <w:t>Performa</w:t>
      </w:r>
      <w:proofErr w:type="spellEnd"/>
      <w:r w:rsidRPr="00151F0F">
        <w:rPr>
          <w:rFonts w:ascii="Arial" w:hAnsi="Arial" w:cs="Arial"/>
          <w:b/>
          <w:bCs/>
          <w:sz w:val="20"/>
          <w:szCs w:val="21"/>
        </w:rPr>
        <w:t xml:space="preserve"> sono specifici per:</w:t>
      </w:r>
    </w:p>
    <w:p w:rsidR="00151F0F" w:rsidRPr="00151F0F" w:rsidRDefault="00151F0F" w:rsidP="00151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1"/>
        </w:rPr>
      </w:pPr>
      <w:r w:rsidRPr="00151F0F">
        <w:rPr>
          <w:rFonts w:ascii="Arial" w:hAnsi="Arial" w:cs="Arial"/>
          <w:sz w:val="20"/>
          <w:szCs w:val="21"/>
        </w:rPr>
        <w:t>- sostituire gli oli formulati con basi minerali</w:t>
      </w:r>
    </w:p>
    <w:p w:rsidR="00151F0F" w:rsidRPr="00151F0F" w:rsidRDefault="00151F0F" w:rsidP="00151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1"/>
        </w:rPr>
      </w:pPr>
      <w:r w:rsidRPr="00151F0F">
        <w:rPr>
          <w:rFonts w:ascii="Arial" w:hAnsi="Arial" w:cs="Arial"/>
          <w:sz w:val="20"/>
          <w:szCs w:val="21"/>
        </w:rPr>
        <w:t>- effettuare operazioni di rettifica su pezzi in acciai e ghisa</w:t>
      </w:r>
    </w:p>
    <w:p w:rsidR="00151F0F" w:rsidRPr="00151F0F" w:rsidRDefault="00151F0F" w:rsidP="00151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1"/>
        </w:rPr>
      </w:pPr>
      <w:r w:rsidRPr="00151F0F">
        <w:rPr>
          <w:rFonts w:ascii="Arial" w:hAnsi="Arial" w:cs="Arial"/>
          <w:sz w:val="20"/>
          <w:szCs w:val="21"/>
        </w:rPr>
        <w:t>- compiere operazioni di asportazione su tutti i metalli</w:t>
      </w:r>
    </w:p>
    <w:p w:rsidR="00151F0F" w:rsidRPr="00151F0F" w:rsidRDefault="00151F0F" w:rsidP="00151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1"/>
        </w:rPr>
      </w:pPr>
      <w:r w:rsidRPr="00151F0F">
        <w:rPr>
          <w:rFonts w:ascii="Arial" w:hAnsi="Arial" w:cs="Arial"/>
          <w:sz w:val="20"/>
          <w:szCs w:val="21"/>
        </w:rPr>
        <w:t>- eseguire operazioni di asportazioni gravose su acciai legati</w:t>
      </w:r>
    </w:p>
    <w:p w:rsidR="00151F0F" w:rsidRPr="00151F0F" w:rsidRDefault="00151F0F" w:rsidP="00151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1"/>
        </w:rPr>
      </w:pPr>
    </w:p>
    <w:p w:rsidR="00151F0F" w:rsidRPr="00151F0F" w:rsidRDefault="00151F0F" w:rsidP="00151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1"/>
        </w:rPr>
      </w:pPr>
      <w:r w:rsidRPr="00151F0F">
        <w:rPr>
          <w:rFonts w:ascii="Arial" w:hAnsi="Arial" w:cs="Arial"/>
          <w:sz w:val="20"/>
          <w:szCs w:val="21"/>
        </w:rPr>
        <w:t xml:space="preserve">Le basi vegetali stabilizzate biodegradabili dei </w:t>
      </w:r>
      <w:proofErr w:type="spellStart"/>
      <w:r w:rsidRPr="00151F0F">
        <w:rPr>
          <w:rFonts w:ascii="Arial" w:hAnsi="Arial" w:cs="Arial"/>
          <w:sz w:val="20"/>
          <w:szCs w:val="21"/>
        </w:rPr>
        <w:t>lubrorefrigeranti</w:t>
      </w:r>
      <w:proofErr w:type="spellEnd"/>
      <w:r w:rsidRPr="00151F0F">
        <w:rPr>
          <w:rFonts w:ascii="Arial" w:hAnsi="Arial" w:cs="Arial"/>
          <w:sz w:val="20"/>
          <w:szCs w:val="21"/>
        </w:rPr>
        <w:t xml:space="preserve"> a base vegetale </w:t>
      </w:r>
      <w:proofErr w:type="spellStart"/>
      <w:r w:rsidRPr="00151F0F">
        <w:rPr>
          <w:rFonts w:ascii="Arial" w:hAnsi="Arial" w:cs="Arial"/>
          <w:sz w:val="20"/>
          <w:szCs w:val="21"/>
        </w:rPr>
        <w:t>Performa</w:t>
      </w:r>
      <w:proofErr w:type="spellEnd"/>
      <w:r w:rsidRPr="00151F0F">
        <w:rPr>
          <w:rFonts w:ascii="Arial" w:hAnsi="Arial" w:cs="Arial"/>
          <w:sz w:val="20"/>
          <w:szCs w:val="21"/>
        </w:rPr>
        <w:t xml:space="preserve"> presentano una struttura molecolare cosiddetta "polare" che si dispone, contrariamente al comportamento degli oli minerali tradizionali, in modo regolare sulla superficie del pezzo in lavorazione.</w:t>
      </w:r>
    </w:p>
    <w:p w:rsidR="00151F0F" w:rsidRPr="00151F0F" w:rsidRDefault="00151F0F" w:rsidP="00151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1"/>
        </w:rPr>
      </w:pPr>
      <w:r w:rsidRPr="00151F0F">
        <w:rPr>
          <w:rFonts w:ascii="Arial" w:hAnsi="Arial" w:cs="Arial"/>
          <w:sz w:val="20"/>
          <w:szCs w:val="21"/>
        </w:rPr>
        <w:t>Questa fondamentale caratteristica, molto affine alla superficie del metallo in lavorazione permette, a parità di lavorazioni meccaniche, di ottenere risultati globali migliori nella riduzione dei consumi, dell'usura degli utensili e del tempo di lavorazione.</w:t>
      </w:r>
    </w:p>
    <w:p w:rsidR="00CE52DE" w:rsidRDefault="00CE52DE" w:rsidP="005F682E">
      <w:pPr>
        <w:rPr>
          <w:rFonts w:ascii="Arial" w:hAnsi="Arial" w:cs="Arial"/>
          <w:sz w:val="20"/>
          <w:szCs w:val="20"/>
        </w:rPr>
      </w:pPr>
    </w:p>
    <w:p w:rsidR="00151F0F" w:rsidRDefault="00151F0F" w:rsidP="005F682E">
      <w:pPr>
        <w:rPr>
          <w:rFonts w:ascii="Arial" w:hAnsi="Arial" w:cs="Arial"/>
          <w:sz w:val="20"/>
          <w:szCs w:val="20"/>
        </w:rPr>
      </w:pPr>
    </w:p>
    <w:p w:rsidR="00151F0F" w:rsidRDefault="00151F0F" w:rsidP="005F682E">
      <w:pPr>
        <w:rPr>
          <w:rFonts w:ascii="Arial" w:hAnsi="Arial" w:cs="Arial"/>
          <w:sz w:val="20"/>
          <w:szCs w:val="20"/>
        </w:rPr>
      </w:pPr>
    </w:p>
    <w:p w:rsidR="00151F0F" w:rsidRDefault="00151F0F" w:rsidP="005F682E">
      <w:pPr>
        <w:rPr>
          <w:rFonts w:ascii="Arial" w:hAnsi="Arial" w:cs="Arial"/>
          <w:sz w:val="20"/>
          <w:szCs w:val="20"/>
        </w:rPr>
      </w:pPr>
    </w:p>
    <w:p w:rsidR="00151F0F" w:rsidRDefault="00151F0F" w:rsidP="005F682E">
      <w:pPr>
        <w:rPr>
          <w:rFonts w:ascii="Arial" w:hAnsi="Arial" w:cs="Arial"/>
          <w:sz w:val="20"/>
          <w:szCs w:val="20"/>
        </w:rPr>
      </w:pPr>
    </w:p>
    <w:p w:rsidR="00151F0F" w:rsidRDefault="00151F0F" w:rsidP="00151F0F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151F0F" w:rsidRPr="00E8207B" w:rsidRDefault="00151F0F" w:rsidP="00151F0F">
      <w:pPr>
        <w:spacing w:after="0" w:line="240" w:lineRule="auto"/>
        <w:jc w:val="center"/>
        <w:rPr>
          <w:rFonts w:ascii="Arial" w:hAnsi="Arial" w:cs="Arial"/>
          <w:b/>
          <w:i/>
          <w:sz w:val="50"/>
          <w:szCs w:val="50"/>
        </w:rPr>
      </w:pPr>
      <w:r w:rsidRPr="00E8207B">
        <w:rPr>
          <w:rFonts w:ascii="Arial" w:hAnsi="Arial" w:cs="Arial"/>
          <w:b/>
          <w:i/>
          <w:sz w:val="50"/>
          <w:szCs w:val="50"/>
        </w:rPr>
        <w:t xml:space="preserve">Fluidi </w:t>
      </w:r>
      <w:proofErr w:type="spellStart"/>
      <w:r w:rsidRPr="00E8207B">
        <w:rPr>
          <w:rFonts w:ascii="Arial" w:hAnsi="Arial" w:cs="Arial"/>
          <w:b/>
          <w:i/>
          <w:sz w:val="50"/>
          <w:szCs w:val="50"/>
        </w:rPr>
        <w:t>lubrorefrigeranti</w:t>
      </w:r>
      <w:proofErr w:type="spellEnd"/>
      <w:r w:rsidRPr="00E8207B">
        <w:rPr>
          <w:rFonts w:ascii="Arial" w:hAnsi="Arial" w:cs="Arial"/>
          <w:b/>
          <w:i/>
          <w:sz w:val="50"/>
          <w:szCs w:val="50"/>
        </w:rPr>
        <w:t xml:space="preserve"> solubili </w:t>
      </w:r>
    </w:p>
    <w:p w:rsidR="00151F0F" w:rsidRPr="005F682E" w:rsidRDefault="00151F0F" w:rsidP="00151F0F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proofErr w:type="spellStart"/>
      <w:r w:rsidRPr="00E8207B">
        <w:rPr>
          <w:rFonts w:ascii="Arial" w:hAnsi="Arial" w:cs="Arial"/>
          <w:b/>
          <w:i/>
          <w:sz w:val="50"/>
          <w:szCs w:val="50"/>
        </w:rPr>
        <w:t>Performa</w:t>
      </w:r>
      <w:proofErr w:type="spellEnd"/>
      <w:r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432240" w:rsidRPr="00E8207B" w:rsidRDefault="00432240" w:rsidP="00432240">
      <w:pPr>
        <w:spacing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con base proveniente da fonti rinnovabili</w:t>
      </w:r>
    </w:p>
    <w:p w:rsidR="00F05702" w:rsidRDefault="00F05702" w:rsidP="005F682E">
      <w:pPr>
        <w:rPr>
          <w:rFonts w:ascii="Arial" w:hAnsi="Arial" w:cs="Arial"/>
          <w:b/>
          <w:sz w:val="20"/>
          <w:szCs w:val="20"/>
        </w:rPr>
      </w:pPr>
    </w:p>
    <w:p w:rsidR="00CE52DE" w:rsidRPr="006317FE" w:rsidRDefault="006317FE" w:rsidP="005F682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Caratteristiche </w:t>
      </w:r>
      <w:r w:rsidRPr="006317FE">
        <w:rPr>
          <w:rFonts w:ascii="Arial" w:hAnsi="Arial" w:cs="Arial"/>
          <w:b/>
          <w:sz w:val="20"/>
          <w:szCs w:val="20"/>
        </w:rPr>
        <w:t>principali formulati polifunzionali</w:t>
      </w:r>
    </w:p>
    <w:p w:rsidR="00CE52DE" w:rsidRDefault="00877AE4" w:rsidP="005F682E">
      <w:pPr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6120130" cy="66865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0141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6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97A54" w:rsidRDefault="00297A54" w:rsidP="005F682E">
      <w:pPr>
        <w:rPr>
          <w:rFonts w:ascii="Arial" w:hAnsi="Arial" w:cs="Arial"/>
          <w:sz w:val="20"/>
          <w:szCs w:val="20"/>
        </w:rPr>
      </w:pPr>
    </w:p>
    <w:p w:rsidR="00297A54" w:rsidRPr="007F0B0C" w:rsidRDefault="007F0B0C" w:rsidP="005F682E">
      <w:pPr>
        <w:rPr>
          <w:rFonts w:ascii="Arial" w:hAnsi="Arial" w:cs="Arial"/>
          <w:b/>
          <w:sz w:val="20"/>
          <w:szCs w:val="20"/>
        </w:rPr>
      </w:pPr>
      <w:r w:rsidRPr="007F0B0C">
        <w:rPr>
          <w:rFonts w:ascii="Arial" w:hAnsi="Arial" w:cs="Arial"/>
          <w:b/>
          <w:sz w:val="20"/>
          <w:szCs w:val="20"/>
        </w:rPr>
        <w:t>Guida applicativa</w:t>
      </w:r>
    </w:p>
    <w:p w:rsidR="00297A54" w:rsidRDefault="00877AE4" w:rsidP="005F682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6120130" cy="105156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SE O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05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1055" w:rsidRDefault="00351055" w:rsidP="005F682E">
      <w:pPr>
        <w:rPr>
          <w:rFonts w:ascii="Arial" w:hAnsi="Arial" w:cs="Arial"/>
          <w:sz w:val="20"/>
          <w:szCs w:val="20"/>
        </w:rPr>
      </w:pPr>
    </w:p>
    <w:p w:rsidR="00351055" w:rsidRPr="005F682E" w:rsidRDefault="00351055" w:rsidP="005F682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3200400" cy="1554480"/>
            <wp:effectExtent l="0" t="0" r="0" b="762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gend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55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51055" w:rsidRPr="005F682E" w:rsidSect="006A4CD3">
      <w:headerReference w:type="default" r:id="rId10"/>
      <w:footerReference w:type="default" r:id="rId11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B4C" w:rsidRDefault="00643B4C" w:rsidP="00317A86">
      <w:pPr>
        <w:spacing w:after="0" w:line="240" w:lineRule="auto"/>
      </w:pPr>
      <w:r>
        <w:separator/>
      </w:r>
    </w:p>
  </w:endnote>
  <w:endnote w:type="continuationSeparator" w:id="0">
    <w:p w:rsidR="00643B4C" w:rsidRDefault="00643B4C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</w:rPr>
      <w:t>CENTRO DISTRIBUZIONE UTENSILI S.C.P.A.</w:t>
    </w:r>
    <w:r w:rsidRPr="006A4CD3">
      <w:rPr>
        <w:sz w:val="18"/>
        <w:szCs w:val="18"/>
      </w:rPr>
      <w:t xml:space="preserve">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</w:rPr>
      <w:t xml:space="preserve">Via delle </w:t>
    </w:r>
    <w:proofErr w:type="spellStart"/>
    <w:r w:rsidRPr="006A4CD3">
      <w:rPr>
        <w:sz w:val="18"/>
        <w:szCs w:val="18"/>
      </w:rPr>
      <w:t>Gerole</w:t>
    </w:r>
    <w:proofErr w:type="spellEnd"/>
    <w:r w:rsidRPr="006A4CD3">
      <w:rPr>
        <w:sz w:val="18"/>
        <w:szCs w:val="18"/>
      </w:rPr>
      <w:t xml:space="preserve">, 19 – 20867 Caponago (MB) </w:t>
    </w:r>
    <w:r>
      <w:rPr>
        <w:sz w:val="18"/>
        <w:szCs w:val="18"/>
      </w:rPr>
      <w:t>–</w:t>
    </w:r>
    <w:r w:rsidRPr="006A4CD3">
      <w:rPr>
        <w:sz w:val="18"/>
        <w:szCs w:val="18"/>
      </w:rPr>
      <w:t xml:space="preserve"> Italia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B4C" w:rsidRDefault="00643B4C" w:rsidP="00317A86">
      <w:pPr>
        <w:spacing w:after="0" w:line="240" w:lineRule="auto"/>
      </w:pPr>
      <w:r>
        <w:separator/>
      </w:r>
    </w:p>
  </w:footnote>
  <w:footnote w:type="continuationSeparator" w:id="0">
    <w:p w:rsidR="00643B4C" w:rsidRDefault="00643B4C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0FCA1F04" wp14:editId="5814880F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F"/>
    <w:rsid w:val="00151F0F"/>
    <w:rsid w:val="00267B0B"/>
    <w:rsid w:val="00297A54"/>
    <w:rsid w:val="002F474E"/>
    <w:rsid w:val="00317A86"/>
    <w:rsid w:val="00351055"/>
    <w:rsid w:val="004301D8"/>
    <w:rsid w:val="00432240"/>
    <w:rsid w:val="0048187A"/>
    <w:rsid w:val="004E1386"/>
    <w:rsid w:val="00522C97"/>
    <w:rsid w:val="005F682E"/>
    <w:rsid w:val="006317FE"/>
    <w:rsid w:val="00643B4C"/>
    <w:rsid w:val="006515D6"/>
    <w:rsid w:val="006A4CD3"/>
    <w:rsid w:val="007F0B0C"/>
    <w:rsid w:val="00877AE4"/>
    <w:rsid w:val="00997A75"/>
    <w:rsid w:val="009F2FBE"/>
    <w:rsid w:val="00A347C2"/>
    <w:rsid w:val="00A8373B"/>
    <w:rsid w:val="00A85B30"/>
    <w:rsid w:val="00B61CFD"/>
    <w:rsid w:val="00C151A7"/>
    <w:rsid w:val="00C36042"/>
    <w:rsid w:val="00CE52DE"/>
    <w:rsid w:val="00DA4C9A"/>
    <w:rsid w:val="00DD3677"/>
    <w:rsid w:val="00E6395F"/>
    <w:rsid w:val="00E8207B"/>
    <w:rsid w:val="00EE3907"/>
    <w:rsid w:val="00F05702"/>
    <w:rsid w:val="00F6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29</cp:revision>
  <dcterms:created xsi:type="dcterms:W3CDTF">2016-09-27T06:51:00Z</dcterms:created>
  <dcterms:modified xsi:type="dcterms:W3CDTF">2016-09-28T09:55:00Z</dcterms:modified>
</cp:coreProperties>
</file>