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C0736" w14:textId="7606F97B" w:rsidR="00A73C3F" w:rsidRDefault="00A73C3F">
      <w:pPr>
        <w:pStyle w:val="Corpotesto"/>
        <w:spacing w:before="5"/>
        <w:rPr>
          <w:rFonts w:ascii="Times New Roman"/>
        </w:rPr>
      </w:pPr>
    </w:p>
    <w:p w14:paraId="1F1D8813" w14:textId="7DA4E412" w:rsidR="00A73C3F" w:rsidRPr="00CA65FA" w:rsidRDefault="00D31CBE">
      <w:pPr>
        <w:pStyle w:val="Titolo1"/>
        <w:rPr>
          <w:sz w:val="60"/>
          <w:szCs w:val="60"/>
          <w:lang w:val="it-IT"/>
        </w:rPr>
      </w:pPr>
      <w:r w:rsidRPr="00CA65F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39CE8911" wp14:editId="436D14D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A65FA">
        <w:rPr>
          <w:sz w:val="60"/>
          <w:szCs w:val="60"/>
          <w:lang w:val="it-IT"/>
        </w:rPr>
        <w:t>SPRAZINC R730</w:t>
      </w:r>
    </w:p>
    <w:p w14:paraId="4AF9F221" w14:textId="1D06E759" w:rsidR="00A73C3F" w:rsidRPr="00984DF0" w:rsidRDefault="00D31CBE">
      <w:pPr>
        <w:pStyle w:val="Corpotesto"/>
        <w:spacing w:before="864" w:line="264" w:lineRule="auto"/>
        <w:ind w:left="115" w:right="120"/>
        <w:jc w:val="both"/>
        <w:rPr>
          <w:spacing w:val="2"/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SPRAZINC R730</w:t>
      </w:r>
      <w:r w:rsidR="007F2338" w:rsidRPr="007F2338">
        <w:rPr>
          <w:b/>
          <w:w w:val="105"/>
          <w:sz w:val="24"/>
          <w:lang w:val="it-IT"/>
        </w:rPr>
        <w:t xml:space="preserve"> </w:t>
      </w:r>
      <w:r w:rsidR="007F2338" w:rsidRPr="00984DF0">
        <w:rPr>
          <w:w w:val="105"/>
          <w:sz w:val="20"/>
          <w:szCs w:val="20"/>
          <w:lang w:val="it-IT"/>
        </w:rPr>
        <w:t xml:space="preserve">è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uno zincante protettivo chiaro. </w:t>
      </w:r>
      <w:r w:rsidR="007F2338" w:rsidRPr="00984DF0">
        <w:rPr>
          <w:w w:val="105"/>
          <w:sz w:val="20"/>
          <w:szCs w:val="20"/>
          <w:lang w:val="it-IT"/>
        </w:rPr>
        <w:t xml:space="preserve">Il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suo rivestimento anticorrosivo </w:t>
      </w:r>
      <w:r w:rsidR="007F2338" w:rsidRPr="00984DF0">
        <w:rPr>
          <w:w w:val="105"/>
          <w:sz w:val="20"/>
          <w:szCs w:val="20"/>
          <w:lang w:val="it-IT"/>
        </w:rPr>
        <w:t xml:space="preserve">è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ideale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per proteggere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tutte </w:t>
      </w:r>
      <w:r w:rsidR="007F2338" w:rsidRPr="00984DF0">
        <w:rPr>
          <w:w w:val="105"/>
          <w:sz w:val="20"/>
          <w:szCs w:val="20"/>
          <w:lang w:val="it-IT"/>
        </w:rPr>
        <w:t xml:space="preserve">le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superfici ferrose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dalla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corrosione, per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ripristinare </w:t>
      </w:r>
      <w:r w:rsidR="007F2338" w:rsidRPr="00984DF0">
        <w:rPr>
          <w:w w:val="105"/>
          <w:sz w:val="20"/>
          <w:szCs w:val="20"/>
          <w:lang w:val="it-IT"/>
        </w:rPr>
        <w:t xml:space="preserve">la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zincatura </w:t>
      </w:r>
      <w:r w:rsidR="007F2338" w:rsidRPr="00984DF0">
        <w:rPr>
          <w:spacing w:val="5"/>
          <w:w w:val="105"/>
          <w:sz w:val="20"/>
          <w:szCs w:val="20"/>
          <w:lang w:val="it-IT"/>
        </w:rPr>
        <w:t xml:space="preserve">compromessa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dall’azione degli agenti atmosferici, per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rivestire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parti zincate danneggiate </w:t>
      </w:r>
      <w:r w:rsidR="007F2338" w:rsidRPr="00984DF0">
        <w:rPr>
          <w:spacing w:val="1"/>
          <w:w w:val="105"/>
          <w:sz w:val="20"/>
          <w:szCs w:val="20"/>
          <w:lang w:val="it-IT"/>
        </w:rPr>
        <w:t xml:space="preserve">dalle </w:t>
      </w:r>
      <w:r w:rsidR="007F2338" w:rsidRPr="00984DF0">
        <w:rPr>
          <w:spacing w:val="2"/>
          <w:w w:val="105"/>
          <w:sz w:val="20"/>
          <w:szCs w:val="20"/>
          <w:lang w:val="it-IT"/>
        </w:rPr>
        <w:t xml:space="preserve">operazioni </w:t>
      </w:r>
      <w:r w:rsidR="007F2338" w:rsidRPr="00984DF0">
        <w:rPr>
          <w:spacing w:val="1"/>
          <w:w w:val="105"/>
          <w:sz w:val="20"/>
          <w:szCs w:val="20"/>
          <w:lang w:val="it-IT"/>
        </w:rPr>
        <w:t>di</w:t>
      </w:r>
      <w:r w:rsidR="007F2338" w:rsidRPr="00984DF0">
        <w:rPr>
          <w:spacing w:val="52"/>
          <w:w w:val="105"/>
          <w:sz w:val="20"/>
          <w:szCs w:val="20"/>
          <w:lang w:val="it-IT"/>
        </w:rPr>
        <w:t xml:space="preserve"> </w:t>
      </w:r>
      <w:r w:rsidR="007F2338" w:rsidRPr="00984DF0">
        <w:rPr>
          <w:spacing w:val="2"/>
          <w:w w:val="105"/>
          <w:sz w:val="20"/>
          <w:szCs w:val="20"/>
          <w:lang w:val="it-IT"/>
        </w:rPr>
        <w:t>saldatura.</w:t>
      </w:r>
    </w:p>
    <w:p w14:paraId="2CE6061E" w14:textId="3880889C" w:rsidR="00CA65FA" w:rsidRPr="00984DF0" w:rsidRDefault="00CA65FA" w:rsidP="00CA65FA">
      <w:pPr>
        <w:pStyle w:val="Corpotesto"/>
        <w:spacing w:line="266" w:lineRule="auto"/>
        <w:ind w:left="115" w:right="126"/>
        <w:jc w:val="both"/>
        <w:rPr>
          <w:sz w:val="20"/>
          <w:szCs w:val="20"/>
          <w:lang w:val="it-IT"/>
        </w:rPr>
      </w:pPr>
      <w:r w:rsidRPr="00984DF0">
        <w:rPr>
          <w:w w:val="105"/>
          <w:sz w:val="20"/>
          <w:szCs w:val="20"/>
          <w:lang w:val="it-IT"/>
        </w:rPr>
        <w:t>Raccomandato per la manutenzione corrente o preventiva di: tetti metallici, grondaie, serramenti, strutture, contenitori, impianti alimentari e non, attrezzature, saldature, ecc.</w:t>
      </w:r>
    </w:p>
    <w:p w14:paraId="71CAC2CA" w14:textId="77777777" w:rsidR="00A73C3F" w:rsidRPr="007F2338" w:rsidRDefault="00A73C3F">
      <w:pPr>
        <w:pStyle w:val="Corpotesto"/>
        <w:rPr>
          <w:sz w:val="20"/>
          <w:lang w:val="it-IT"/>
        </w:rPr>
      </w:pPr>
    </w:p>
    <w:p w14:paraId="0A9FA151" w14:textId="77777777" w:rsidR="00A73C3F" w:rsidRPr="007F2338" w:rsidRDefault="00A73C3F">
      <w:pPr>
        <w:pStyle w:val="Corpotesto"/>
        <w:rPr>
          <w:sz w:val="20"/>
          <w:lang w:val="it-IT"/>
        </w:rPr>
      </w:pPr>
    </w:p>
    <w:p w14:paraId="75817BB0" w14:textId="77777777" w:rsidR="00A73C3F" w:rsidRPr="007F2338" w:rsidRDefault="00A73C3F">
      <w:pPr>
        <w:pStyle w:val="Corpotesto"/>
        <w:rPr>
          <w:sz w:val="20"/>
          <w:lang w:val="it-IT"/>
        </w:rPr>
      </w:pPr>
    </w:p>
    <w:p w14:paraId="03730182" w14:textId="77777777" w:rsidR="00A73C3F" w:rsidRPr="007F2338" w:rsidRDefault="00A73C3F">
      <w:pPr>
        <w:pStyle w:val="Corpotesto"/>
        <w:spacing w:before="7"/>
        <w:rPr>
          <w:sz w:val="15"/>
          <w:lang w:val="it-IT"/>
        </w:rPr>
      </w:pPr>
    </w:p>
    <w:p w14:paraId="6E0D815C" w14:textId="77777777" w:rsidR="00A73C3F" w:rsidRPr="00CA65FA" w:rsidRDefault="007F2338">
      <w:pPr>
        <w:pStyle w:val="Titolo2"/>
        <w:jc w:val="both"/>
        <w:rPr>
          <w:sz w:val="20"/>
          <w:szCs w:val="20"/>
        </w:rPr>
      </w:pPr>
      <w:r w:rsidRPr="00CA65FA">
        <w:rPr>
          <w:sz w:val="20"/>
          <w:szCs w:val="20"/>
        </w:rPr>
        <w:t>CARATTERISTICHE CHIMICO-FISICHE</w:t>
      </w:r>
    </w:p>
    <w:p w14:paraId="17289BEA" w14:textId="77777777" w:rsidR="00A73C3F" w:rsidRDefault="00A73C3F">
      <w:pPr>
        <w:pStyle w:val="Corpotesto"/>
        <w:spacing w:before="11"/>
        <w:rPr>
          <w:b/>
          <w:sz w:val="9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74"/>
        <w:gridCol w:w="4028"/>
      </w:tblGrid>
      <w:tr w:rsidR="00A73C3F" w:rsidRPr="00C454A5" w14:paraId="17FC5783" w14:textId="77777777" w:rsidTr="00E620EA">
        <w:trPr>
          <w:trHeight w:val="406"/>
        </w:trPr>
        <w:tc>
          <w:tcPr>
            <w:tcW w:w="4974" w:type="dxa"/>
            <w:shd w:val="clear" w:color="auto" w:fill="D9D9D9" w:themeFill="background1" w:themeFillShade="D9"/>
            <w:vAlign w:val="center"/>
          </w:tcPr>
          <w:p w14:paraId="0A64AFBC" w14:textId="77777777" w:rsidR="00A73C3F" w:rsidRPr="00984DF0" w:rsidRDefault="007F2338" w:rsidP="00CA65F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Stato</w:t>
            </w:r>
            <w:proofErr w:type="spellEnd"/>
            <w:r w:rsidRPr="00984DF0">
              <w:rPr>
                <w:sz w:val="18"/>
                <w:szCs w:val="18"/>
              </w:rPr>
              <w:t xml:space="preserve"> </w:t>
            </w:r>
            <w:proofErr w:type="spellStart"/>
            <w:r w:rsidRPr="00984DF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028" w:type="dxa"/>
            <w:shd w:val="clear" w:color="auto" w:fill="D9D9D9" w:themeFill="background1" w:themeFillShade="D9"/>
            <w:vAlign w:val="center"/>
          </w:tcPr>
          <w:p w14:paraId="53B6698E" w14:textId="77777777" w:rsidR="00A73C3F" w:rsidRPr="00984DF0" w:rsidRDefault="007F2338" w:rsidP="00CA65F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84DF0">
              <w:rPr>
                <w:sz w:val="18"/>
                <w:szCs w:val="18"/>
                <w:lang w:val="it-IT"/>
              </w:rPr>
              <w:t>Sospensione di solidi in dispersione gassosa</w:t>
            </w:r>
          </w:p>
        </w:tc>
      </w:tr>
      <w:tr w:rsidR="00A73C3F" w:rsidRPr="00C454A5" w14:paraId="7CEE31F5" w14:textId="77777777" w:rsidTr="00984DF0">
        <w:trPr>
          <w:trHeight w:val="406"/>
        </w:trPr>
        <w:tc>
          <w:tcPr>
            <w:tcW w:w="4974" w:type="dxa"/>
            <w:vAlign w:val="center"/>
          </w:tcPr>
          <w:p w14:paraId="46B5F7C8" w14:textId="77777777" w:rsidR="00A73C3F" w:rsidRPr="00984DF0" w:rsidRDefault="007F2338" w:rsidP="00CA65F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984DF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028" w:type="dxa"/>
            <w:vAlign w:val="center"/>
          </w:tcPr>
          <w:p w14:paraId="4DEFA087" w14:textId="77777777" w:rsidR="00A73C3F" w:rsidRPr="00984DF0" w:rsidRDefault="007F2338" w:rsidP="00CA65FA">
            <w:pPr>
              <w:pStyle w:val="TableParagraph"/>
              <w:spacing w:before="41"/>
              <w:rPr>
                <w:sz w:val="18"/>
                <w:szCs w:val="18"/>
                <w:lang w:val="it-IT"/>
              </w:rPr>
            </w:pPr>
            <w:r w:rsidRPr="00984DF0">
              <w:rPr>
                <w:sz w:val="18"/>
                <w:szCs w:val="18"/>
                <w:lang w:val="it-IT"/>
              </w:rPr>
              <w:t>Dispersione a nebulizzazione fine ad effetto pennello</w:t>
            </w:r>
          </w:p>
        </w:tc>
      </w:tr>
      <w:tr w:rsidR="00A73C3F" w14:paraId="0DCD7BFB" w14:textId="77777777" w:rsidTr="00E620EA">
        <w:trPr>
          <w:trHeight w:val="406"/>
        </w:trPr>
        <w:tc>
          <w:tcPr>
            <w:tcW w:w="4974" w:type="dxa"/>
            <w:shd w:val="clear" w:color="auto" w:fill="D9D9D9" w:themeFill="background1" w:themeFillShade="D9"/>
            <w:vAlign w:val="center"/>
          </w:tcPr>
          <w:p w14:paraId="58FF78D1" w14:textId="77777777" w:rsidR="00A73C3F" w:rsidRPr="00984DF0" w:rsidRDefault="007F2338" w:rsidP="00CA65F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984DF0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028" w:type="dxa"/>
            <w:shd w:val="clear" w:color="auto" w:fill="D9D9D9" w:themeFill="background1" w:themeFillShade="D9"/>
            <w:vAlign w:val="center"/>
          </w:tcPr>
          <w:p w14:paraId="5BCACAA8" w14:textId="77777777" w:rsidR="00A73C3F" w:rsidRPr="00984DF0" w:rsidRDefault="007F2338" w:rsidP="00CA65F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Erogatore</w:t>
            </w:r>
            <w:proofErr w:type="spellEnd"/>
            <w:r w:rsidRPr="00984DF0">
              <w:rPr>
                <w:sz w:val="18"/>
                <w:szCs w:val="18"/>
              </w:rPr>
              <w:t xml:space="preserve"> </w:t>
            </w:r>
            <w:proofErr w:type="spellStart"/>
            <w:r w:rsidRPr="00984DF0">
              <w:rPr>
                <w:sz w:val="18"/>
                <w:szCs w:val="18"/>
              </w:rPr>
              <w:t>supplementare</w:t>
            </w:r>
            <w:proofErr w:type="spellEnd"/>
            <w:r w:rsidRPr="00984DF0">
              <w:rPr>
                <w:sz w:val="18"/>
                <w:szCs w:val="18"/>
              </w:rPr>
              <w:t xml:space="preserve"> non </w:t>
            </w:r>
            <w:proofErr w:type="spellStart"/>
            <w:r w:rsidRPr="00984DF0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A73C3F" w14:paraId="41EF63A9" w14:textId="77777777" w:rsidTr="00984DF0">
        <w:trPr>
          <w:trHeight w:val="406"/>
        </w:trPr>
        <w:tc>
          <w:tcPr>
            <w:tcW w:w="4974" w:type="dxa"/>
            <w:vAlign w:val="center"/>
          </w:tcPr>
          <w:p w14:paraId="1F1A03B5" w14:textId="77777777" w:rsidR="00A73C3F" w:rsidRPr="00984DF0" w:rsidRDefault="007F2338" w:rsidP="00CA65FA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028" w:type="dxa"/>
            <w:vAlign w:val="center"/>
          </w:tcPr>
          <w:p w14:paraId="440D0115" w14:textId="77777777" w:rsidR="00A73C3F" w:rsidRPr="00984DF0" w:rsidRDefault="007F2338" w:rsidP="00CA65FA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Disponibile</w:t>
            </w:r>
            <w:proofErr w:type="spellEnd"/>
            <w:r w:rsidRPr="00984DF0">
              <w:rPr>
                <w:sz w:val="18"/>
                <w:szCs w:val="18"/>
              </w:rPr>
              <w:t xml:space="preserve"> </w:t>
            </w:r>
            <w:proofErr w:type="spellStart"/>
            <w:r w:rsidRPr="00984DF0">
              <w:rPr>
                <w:sz w:val="18"/>
                <w:szCs w:val="18"/>
              </w:rPr>
              <w:t>nella</w:t>
            </w:r>
            <w:proofErr w:type="spellEnd"/>
            <w:r w:rsidRPr="00984DF0">
              <w:rPr>
                <w:sz w:val="18"/>
                <w:szCs w:val="18"/>
              </w:rPr>
              <w:t xml:space="preserve"> </w:t>
            </w:r>
            <w:proofErr w:type="spellStart"/>
            <w:r w:rsidRPr="00984DF0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A73C3F" w14:paraId="339DDD69" w14:textId="77777777" w:rsidTr="00E620EA">
        <w:trPr>
          <w:trHeight w:val="406"/>
        </w:trPr>
        <w:tc>
          <w:tcPr>
            <w:tcW w:w="4974" w:type="dxa"/>
            <w:shd w:val="clear" w:color="auto" w:fill="D9D9D9" w:themeFill="background1" w:themeFillShade="D9"/>
            <w:vAlign w:val="center"/>
          </w:tcPr>
          <w:p w14:paraId="17CF2CDA" w14:textId="77777777" w:rsidR="00A73C3F" w:rsidRPr="00984DF0" w:rsidRDefault="007F2338" w:rsidP="00CA65FA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984DF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028" w:type="dxa"/>
            <w:shd w:val="clear" w:color="auto" w:fill="D9D9D9" w:themeFill="background1" w:themeFillShade="D9"/>
            <w:vAlign w:val="center"/>
          </w:tcPr>
          <w:p w14:paraId="01F8749A" w14:textId="77777777" w:rsidR="00A73C3F" w:rsidRPr="00984DF0" w:rsidRDefault="007F2338" w:rsidP="00CA65FA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Argenteo</w:t>
            </w:r>
            <w:proofErr w:type="spellEnd"/>
          </w:p>
        </w:tc>
      </w:tr>
      <w:bookmarkEnd w:id="0"/>
      <w:tr w:rsidR="00A73C3F" w14:paraId="6CE71716" w14:textId="77777777" w:rsidTr="00984DF0">
        <w:trPr>
          <w:trHeight w:val="406"/>
        </w:trPr>
        <w:tc>
          <w:tcPr>
            <w:tcW w:w="4974" w:type="dxa"/>
            <w:vAlign w:val="center"/>
          </w:tcPr>
          <w:p w14:paraId="4A43D818" w14:textId="77777777" w:rsidR="00A73C3F" w:rsidRPr="00984DF0" w:rsidRDefault="007F2338" w:rsidP="00CA65F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028" w:type="dxa"/>
            <w:vAlign w:val="center"/>
          </w:tcPr>
          <w:p w14:paraId="27C5DE1F" w14:textId="77777777" w:rsidR="00A73C3F" w:rsidRPr="00984DF0" w:rsidRDefault="007F2338" w:rsidP="00CA65F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4DF0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786DA04C" w14:textId="77777777" w:rsidR="00A73C3F" w:rsidRPr="00984DF0" w:rsidRDefault="007F2338">
      <w:pPr>
        <w:pStyle w:val="Titolo3"/>
        <w:spacing w:before="220"/>
        <w:rPr>
          <w:sz w:val="20"/>
          <w:szCs w:val="20"/>
        </w:rPr>
      </w:pPr>
      <w:proofErr w:type="spellStart"/>
      <w:r w:rsidRPr="00984DF0">
        <w:rPr>
          <w:color w:val="0D0D0D"/>
          <w:w w:val="105"/>
          <w:sz w:val="20"/>
          <w:szCs w:val="20"/>
        </w:rPr>
        <w:t>Contiene</w:t>
      </w:r>
      <w:proofErr w:type="spellEnd"/>
    </w:p>
    <w:p w14:paraId="20AB86D0" w14:textId="6A618A76" w:rsidR="00A73C3F" w:rsidRPr="00984DF0" w:rsidRDefault="00C454A5">
      <w:pPr>
        <w:spacing w:before="28"/>
        <w:ind w:left="836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z</w:t>
      </w:r>
      <w:r w:rsidR="007F2338" w:rsidRPr="00984DF0">
        <w:rPr>
          <w:w w:val="105"/>
          <w:sz w:val="20"/>
          <w:szCs w:val="20"/>
          <w:lang w:val="it-IT"/>
        </w:rPr>
        <w:t>inco in polvere, resine fissanti, solventi chetonici, propellente Propano/Butano.</w:t>
      </w:r>
    </w:p>
    <w:p w14:paraId="4F2440D0" w14:textId="77777777" w:rsidR="00A73C3F" w:rsidRPr="00984DF0" w:rsidRDefault="00A73C3F">
      <w:pPr>
        <w:pStyle w:val="Corpotesto"/>
        <w:rPr>
          <w:sz w:val="20"/>
          <w:szCs w:val="20"/>
          <w:lang w:val="it-IT"/>
        </w:rPr>
      </w:pPr>
    </w:p>
    <w:p w14:paraId="3CD75237" w14:textId="77777777" w:rsidR="00A73C3F" w:rsidRPr="00984DF0" w:rsidRDefault="00A73C3F">
      <w:pPr>
        <w:pStyle w:val="Corpotesto"/>
        <w:rPr>
          <w:sz w:val="20"/>
          <w:szCs w:val="20"/>
          <w:lang w:val="it-IT"/>
        </w:rPr>
      </w:pPr>
    </w:p>
    <w:p w14:paraId="2B79DBFA" w14:textId="77777777" w:rsidR="00A73C3F" w:rsidRPr="00984DF0" w:rsidRDefault="00A73C3F">
      <w:pPr>
        <w:pStyle w:val="Corpotesto"/>
        <w:rPr>
          <w:sz w:val="20"/>
          <w:szCs w:val="20"/>
          <w:lang w:val="it-IT"/>
        </w:rPr>
      </w:pPr>
    </w:p>
    <w:p w14:paraId="7CF8D10C" w14:textId="77777777" w:rsidR="00A73C3F" w:rsidRPr="00984DF0" w:rsidRDefault="00A73C3F">
      <w:pPr>
        <w:pStyle w:val="Corpotesto"/>
        <w:rPr>
          <w:sz w:val="20"/>
          <w:szCs w:val="20"/>
          <w:lang w:val="it-IT"/>
        </w:rPr>
      </w:pPr>
    </w:p>
    <w:p w14:paraId="7078A148" w14:textId="77777777" w:rsidR="00A73C3F" w:rsidRPr="00984DF0" w:rsidRDefault="00A73C3F">
      <w:pPr>
        <w:pStyle w:val="Corpotesto"/>
        <w:spacing w:before="8"/>
        <w:rPr>
          <w:sz w:val="20"/>
          <w:szCs w:val="20"/>
          <w:lang w:val="it-IT"/>
        </w:rPr>
      </w:pPr>
    </w:p>
    <w:p w14:paraId="5ED044F6" w14:textId="61D3760B" w:rsidR="00A73C3F" w:rsidRPr="00984DF0" w:rsidRDefault="00984DF0">
      <w:pPr>
        <w:pStyle w:val="Titolo2"/>
        <w:spacing w:before="1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984DF0">
        <w:rPr>
          <w:sz w:val="20"/>
          <w:szCs w:val="20"/>
          <w:lang w:val="it-IT"/>
        </w:rPr>
        <w:t>À</w:t>
      </w:r>
      <w:r w:rsidR="007F2338" w:rsidRPr="00984DF0">
        <w:rPr>
          <w:sz w:val="20"/>
          <w:szCs w:val="20"/>
          <w:lang w:val="it-IT"/>
        </w:rPr>
        <w:t xml:space="preserve"> D’USO RACCOMANDATE</w:t>
      </w:r>
    </w:p>
    <w:p w14:paraId="4CE5237A" w14:textId="77777777" w:rsidR="00A73C3F" w:rsidRPr="00984DF0" w:rsidRDefault="00A73C3F">
      <w:pPr>
        <w:pStyle w:val="Corpotesto"/>
        <w:spacing w:before="2"/>
        <w:rPr>
          <w:sz w:val="20"/>
          <w:szCs w:val="20"/>
          <w:lang w:val="it-IT"/>
        </w:rPr>
      </w:pPr>
    </w:p>
    <w:p w14:paraId="0D8EE3F4" w14:textId="000E6F17" w:rsidR="00A73C3F" w:rsidRPr="00984DF0" w:rsidRDefault="007F2338">
      <w:pPr>
        <w:pStyle w:val="Corpotesto"/>
        <w:spacing w:line="266" w:lineRule="auto"/>
        <w:ind w:left="115" w:right="110"/>
        <w:jc w:val="both"/>
        <w:rPr>
          <w:sz w:val="20"/>
          <w:szCs w:val="20"/>
          <w:lang w:val="it-IT"/>
        </w:rPr>
      </w:pPr>
      <w:r w:rsidRPr="00984DF0">
        <w:rPr>
          <w:w w:val="105"/>
          <w:sz w:val="20"/>
          <w:szCs w:val="20"/>
          <w:lang w:val="it-IT"/>
        </w:rPr>
        <w:t>Pulire la superficie da trattare, eliminando ruggine e scorie. Agitare la bombola sino a sentire il movimento delle sf</w:t>
      </w:r>
      <w:r w:rsidR="00C454A5">
        <w:rPr>
          <w:w w:val="105"/>
          <w:sz w:val="20"/>
          <w:szCs w:val="20"/>
          <w:lang w:val="it-IT"/>
        </w:rPr>
        <w:t>ere all'interno. Da circa 20 cm</w:t>
      </w:r>
      <w:r w:rsidRPr="00984DF0">
        <w:rPr>
          <w:w w:val="105"/>
          <w:sz w:val="20"/>
          <w:szCs w:val="20"/>
          <w:lang w:val="it-IT"/>
        </w:rPr>
        <w:t xml:space="preserve"> di distanza spruzzare due mani di prodotto, mantenendo l'erogatore in posizione verticale, sino ad ottenere uno spessore secco compreso tra 50 e 80 micron. Temperatura di applicazione: 10°C. Prima di manipolare il pezzo attendere l’essiccazione totale (asciugatura al tatto: 20-30 minuti; asciugatura completa: 8-12 ore).</w:t>
      </w:r>
    </w:p>
    <w:p w14:paraId="3DCBB8F2" w14:textId="77777777" w:rsidR="00A73C3F" w:rsidRPr="00984DF0" w:rsidRDefault="00A73C3F">
      <w:pPr>
        <w:pStyle w:val="Corpotesto"/>
        <w:spacing w:before="5"/>
        <w:rPr>
          <w:sz w:val="20"/>
          <w:szCs w:val="20"/>
          <w:lang w:val="it-IT"/>
        </w:rPr>
      </w:pPr>
    </w:p>
    <w:p w14:paraId="4B82E352" w14:textId="3656F76D" w:rsidR="00A73C3F" w:rsidRPr="00C454A5" w:rsidRDefault="007F2338">
      <w:pPr>
        <w:spacing w:line="254" w:lineRule="auto"/>
        <w:ind w:left="115" w:right="110"/>
        <w:jc w:val="both"/>
        <w:rPr>
          <w:i/>
          <w:caps/>
          <w:sz w:val="20"/>
          <w:szCs w:val="20"/>
          <w:lang w:val="it-IT"/>
        </w:rPr>
      </w:pPr>
      <w:r w:rsidRPr="00C454A5">
        <w:rPr>
          <w:i/>
          <w:caps/>
          <w:sz w:val="20"/>
          <w:szCs w:val="20"/>
          <w:lang w:val="it-IT"/>
        </w:rPr>
        <w:t>AL FINE DI GARANTIRE IL COMPLETO SVUOTAMENTO DELL'EROGATORE CHE ALTRIMENTI SI INTASEREBBE IRRIMEDIABILMENTE, TERMINATO L'UTILIZZO, BISOGNA CAPOVOLGERE LA BOMBOLA E SPRUZ</w:t>
      </w:r>
      <w:r w:rsidR="00C454A5" w:rsidRPr="00C454A5">
        <w:rPr>
          <w:i/>
          <w:caps/>
          <w:sz w:val="20"/>
          <w:szCs w:val="20"/>
          <w:lang w:val="it-IT"/>
        </w:rPr>
        <w:t>ZARE SINO A QUANDO NON ESCE PIù</w:t>
      </w:r>
      <w:r w:rsidRPr="00C454A5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77579E99" w14:textId="3956F14C" w:rsidR="00A73C3F" w:rsidRDefault="00A73C3F">
      <w:pPr>
        <w:pStyle w:val="Corpotesto"/>
        <w:rPr>
          <w:i/>
          <w:lang w:val="it-IT"/>
        </w:rPr>
      </w:pPr>
    </w:p>
    <w:p w14:paraId="5773B6BE" w14:textId="77777777" w:rsidR="00BD1096" w:rsidRPr="007F2338" w:rsidRDefault="00BD1096">
      <w:pPr>
        <w:pStyle w:val="Corpotesto"/>
        <w:rPr>
          <w:i/>
          <w:lang w:val="it-IT"/>
        </w:rPr>
      </w:pPr>
    </w:p>
    <w:p w14:paraId="776C3D4E" w14:textId="7982428D" w:rsidR="00A73C3F" w:rsidRDefault="00A73C3F">
      <w:pPr>
        <w:pStyle w:val="Corpotesto"/>
        <w:rPr>
          <w:i/>
          <w:lang w:val="it-IT"/>
        </w:rPr>
      </w:pPr>
    </w:p>
    <w:p w14:paraId="63912EDB" w14:textId="77777777" w:rsidR="00D31CBE" w:rsidRPr="007F2338" w:rsidRDefault="00D31CBE">
      <w:pPr>
        <w:pStyle w:val="Corpotesto"/>
        <w:rPr>
          <w:i/>
          <w:lang w:val="it-IT"/>
        </w:rPr>
      </w:pPr>
    </w:p>
    <w:sectPr w:rsidR="00D31CBE" w:rsidRPr="007F2338" w:rsidSect="00984DF0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BD173" w14:textId="77777777" w:rsidR="00581853" w:rsidRDefault="00581853" w:rsidP="008E702B">
      <w:r>
        <w:separator/>
      </w:r>
    </w:p>
  </w:endnote>
  <w:endnote w:type="continuationSeparator" w:id="0">
    <w:p w14:paraId="7F333415" w14:textId="77777777" w:rsidR="00581853" w:rsidRDefault="00581853" w:rsidP="008E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FE700" w14:textId="77777777" w:rsidR="00984DF0" w:rsidRPr="00436F64" w:rsidRDefault="00984DF0" w:rsidP="00984DF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39DCFB5" w14:textId="77777777" w:rsidR="00984DF0" w:rsidRPr="00436F64" w:rsidRDefault="00984DF0" w:rsidP="00984DF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8360B06" w14:textId="77777777" w:rsidR="00984DF0" w:rsidRPr="00436F64" w:rsidRDefault="00984DF0" w:rsidP="00984DF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C51CED5" w14:textId="77777777" w:rsidR="00984DF0" w:rsidRDefault="00E620EA" w:rsidP="00984DF0">
    <w:pPr>
      <w:pStyle w:val="Corpotesto"/>
      <w:jc w:val="center"/>
      <w:rPr>
        <w:sz w:val="22"/>
        <w:lang w:val="it-IT"/>
      </w:rPr>
    </w:pPr>
    <w:hyperlink r:id="rId1" w:history="1">
      <w:r w:rsidR="00984DF0" w:rsidRPr="003650DF">
        <w:rPr>
          <w:rStyle w:val="Collegamentoipertestuale"/>
          <w:sz w:val="22"/>
          <w:lang w:val="it-IT"/>
        </w:rPr>
        <w:t>info@cdu.net</w:t>
      </w:r>
    </w:hyperlink>
  </w:p>
  <w:p w14:paraId="59787933" w14:textId="77777777" w:rsidR="00984DF0" w:rsidRDefault="00984DF0" w:rsidP="00984DF0">
    <w:pPr>
      <w:pStyle w:val="Corpotesto"/>
      <w:jc w:val="center"/>
      <w:rPr>
        <w:sz w:val="22"/>
        <w:lang w:val="it-IT"/>
      </w:rPr>
    </w:pPr>
  </w:p>
  <w:p w14:paraId="7DCE7FBA" w14:textId="77777777" w:rsidR="00984DF0" w:rsidRPr="00436F64" w:rsidRDefault="00984DF0" w:rsidP="00984DF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EA8F0B2" w14:textId="77777777" w:rsidR="00984DF0" w:rsidRPr="00984DF0" w:rsidRDefault="00984DF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AEF44" w14:textId="77777777" w:rsidR="00581853" w:rsidRDefault="00581853" w:rsidP="008E702B">
      <w:r>
        <w:separator/>
      </w:r>
    </w:p>
  </w:footnote>
  <w:footnote w:type="continuationSeparator" w:id="0">
    <w:p w14:paraId="37A4A8B4" w14:textId="77777777" w:rsidR="00581853" w:rsidRDefault="00581853" w:rsidP="008E7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73C3F"/>
    <w:rsid w:val="00581853"/>
    <w:rsid w:val="007F2338"/>
    <w:rsid w:val="008E702B"/>
    <w:rsid w:val="00984DF0"/>
    <w:rsid w:val="00A73C3F"/>
    <w:rsid w:val="00A7569B"/>
    <w:rsid w:val="00BD1096"/>
    <w:rsid w:val="00C454A5"/>
    <w:rsid w:val="00CA65FA"/>
    <w:rsid w:val="00D31CBE"/>
    <w:rsid w:val="00E620EA"/>
    <w:rsid w:val="00EC77C1"/>
    <w:rsid w:val="00F6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A9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0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8E70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0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8E70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0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31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9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9</cp:revision>
  <dcterms:created xsi:type="dcterms:W3CDTF">2018-03-27T10:10:00Z</dcterms:created>
  <dcterms:modified xsi:type="dcterms:W3CDTF">2019-12-06T14:33:00Z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