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A75" w:rsidRDefault="00997A75" w:rsidP="00F677EF">
      <w:pPr>
        <w:jc w:val="center"/>
        <w:rPr>
          <w:rFonts w:ascii="Arial" w:hAnsi="Arial" w:cs="Arial"/>
          <w:b/>
        </w:rPr>
      </w:pPr>
    </w:p>
    <w:p w:rsidR="00C36042" w:rsidRDefault="00F677EF" w:rsidP="00F677EF">
      <w:pPr>
        <w:jc w:val="center"/>
        <w:rPr>
          <w:rFonts w:ascii="Arial" w:hAnsi="Arial" w:cs="Arial"/>
          <w:b/>
        </w:rPr>
      </w:pPr>
      <w:r w:rsidRPr="00DA4C9A">
        <w:rPr>
          <w:rFonts w:ascii="Arial" w:eastAsia="Arial" w:hAnsi="Arial" w:cs="Arial"/>
          <w:b/>
          <w:lang w:val="en-GB" w:bidi="en-GB"/>
        </w:rPr>
        <w:t>TECHNICAL DATA SHEET</w:t>
      </w:r>
    </w:p>
    <w:p w:rsidR="005F682E" w:rsidRPr="00E8207B" w:rsidRDefault="00DA4C9A" w:rsidP="005F682E">
      <w:pPr>
        <w:spacing w:after="0" w:line="240" w:lineRule="auto"/>
        <w:jc w:val="center"/>
        <w:rPr>
          <w:rFonts w:ascii="Arial" w:hAnsi="Arial" w:cs="Arial"/>
          <w:b/>
          <w:i/>
          <w:sz w:val="50"/>
          <w:szCs w:val="50"/>
        </w:rPr>
      </w:pPr>
      <w:r w:rsidRPr="00E8207B">
        <w:rPr>
          <w:rFonts w:ascii="Arial" w:eastAsia="Arial" w:hAnsi="Arial" w:cs="Arial"/>
          <w:b/>
          <w:i/>
          <w:sz w:val="50"/>
          <w:szCs w:val="50"/>
          <w:lang w:val="en-GB" w:bidi="en-GB"/>
        </w:rPr>
        <w:t xml:space="preserve">Soluble lubri-coolant fluids </w:t>
      </w:r>
    </w:p>
    <w:p w:rsidR="00DA4C9A" w:rsidRPr="005F682E" w:rsidRDefault="00DA4C9A" w:rsidP="005F682E">
      <w:pPr>
        <w:spacing w:after="0" w:line="240" w:lineRule="auto"/>
        <w:jc w:val="center"/>
        <w:rPr>
          <w:rFonts w:ascii="Arial" w:hAnsi="Arial" w:cs="Arial"/>
          <w:b/>
          <w:i/>
          <w:color w:val="0070C0"/>
          <w:sz w:val="18"/>
          <w:szCs w:val="18"/>
        </w:rPr>
      </w:pPr>
      <w:r w:rsidRPr="00E8207B">
        <w:rPr>
          <w:rFonts w:ascii="Arial" w:eastAsia="Arial" w:hAnsi="Arial" w:cs="Arial"/>
          <w:b/>
          <w:i/>
          <w:sz w:val="50"/>
          <w:szCs w:val="50"/>
          <w:lang w:val="en-GB" w:bidi="en-GB"/>
        </w:rPr>
        <w:t>Performa</w:t>
      </w:r>
      <w:r w:rsidRPr="00E8207B">
        <w:rPr>
          <w:rFonts w:ascii="Arial" w:eastAsia="Arial" w:hAnsi="Arial" w:cs="Arial"/>
          <w:b/>
          <w:i/>
          <w:sz w:val="50"/>
          <w:szCs w:val="50"/>
          <w:lang w:val="en-GB" w:bidi="en-GB"/>
        </w:rPr>
        <w:br/>
      </w:r>
    </w:p>
    <w:p w:rsidR="00DA4C9A" w:rsidRPr="00E8207B" w:rsidRDefault="00522C97" w:rsidP="005F682E">
      <w:pPr>
        <w:spacing w:line="240" w:lineRule="auto"/>
        <w:jc w:val="center"/>
        <w:rPr>
          <w:rFonts w:ascii="Arial" w:hAnsi="Arial" w:cs="Arial"/>
          <w:b/>
          <w:i/>
          <w:sz w:val="28"/>
          <w:szCs w:val="28"/>
        </w:rPr>
      </w:pPr>
      <w:r>
        <w:rPr>
          <w:rFonts w:ascii="Arial" w:eastAsia="Arial" w:hAnsi="Arial" w:cs="Arial"/>
          <w:b/>
          <w:i/>
          <w:sz w:val="28"/>
          <w:szCs w:val="28"/>
          <w:lang w:val="en-GB" w:bidi="en-GB"/>
        </w:rPr>
        <w:t>with a basis coming from renewable sources</w:t>
      </w:r>
    </w:p>
    <w:p w:rsidR="00A347C2" w:rsidRPr="006317FE" w:rsidRDefault="00A347C2" w:rsidP="00A347C2">
      <w:pPr>
        <w:autoSpaceDE w:val="0"/>
        <w:autoSpaceDN w:val="0"/>
        <w:adjustRightInd w:val="0"/>
        <w:spacing w:after="0" w:line="240" w:lineRule="auto"/>
        <w:rPr>
          <w:rFonts w:ascii="Arial" w:hAnsi="Arial" w:cs="Arial"/>
          <w:b/>
          <w:bCs/>
        </w:rPr>
      </w:pPr>
    </w:p>
    <w:p w:rsidR="004301D8" w:rsidRPr="004301D8" w:rsidRDefault="004301D8" w:rsidP="004301D8">
      <w:pPr>
        <w:autoSpaceDE w:val="0"/>
        <w:autoSpaceDN w:val="0"/>
        <w:adjustRightInd w:val="0"/>
        <w:spacing w:after="0" w:line="240" w:lineRule="auto"/>
        <w:rPr>
          <w:rFonts w:ascii="Arial" w:hAnsi="Arial" w:cs="Arial"/>
          <w:b/>
          <w:bCs/>
          <w:sz w:val="20"/>
          <w:szCs w:val="20"/>
        </w:rPr>
      </w:pP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b/>
          <w:sz w:val="20"/>
          <w:szCs w:val="21"/>
          <w:lang w:val="en-GB" w:bidi="en-GB"/>
        </w:rPr>
        <w:t>Main features</w:t>
      </w:r>
    </w:p>
    <w:p w:rsidR="00151F0F" w:rsidRPr="00151F0F" w:rsidRDefault="00151F0F" w:rsidP="00151F0F">
      <w:pPr>
        <w:autoSpaceDE w:val="0"/>
        <w:autoSpaceDN w:val="0"/>
        <w:adjustRightInd w:val="0"/>
        <w:spacing w:after="0" w:line="240" w:lineRule="auto"/>
        <w:rPr>
          <w:rFonts w:ascii="Arial" w:hAnsi="Arial" w:cs="Arial"/>
          <w:sz w:val="20"/>
          <w:szCs w:val="21"/>
        </w:rPr>
      </w:pP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The Performa vegetal lubri-coolants are prepared to improve the impact on the environment, to protect the operators’ health and to guarantee high performance during cutting works. They are multipurpose preparations, with basic oils coming from renewable sources and without the risk labelling.</w:t>
      </w:r>
    </w:p>
    <w:p w:rsidR="00151F0F" w:rsidRPr="00151F0F" w:rsidRDefault="00151F0F" w:rsidP="00151F0F">
      <w:pPr>
        <w:autoSpaceDE w:val="0"/>
        <w:autoSpaceDN w:val="0"/>
        <w:adjustRightInd w:val="0"/>
        <w:spacing w:after="0" w:line="240" w:lineRule="auto"/>
        <w:rPr>
          <w:rFonts w:ascii="Arial" w:hAnsi="Arial" w:cs="Arial"/>
          <w:sz w:val="20"/>
          <w:szCs w:val="21"/>
        </w:rPr>
      </w:pP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b/>
          <w:sz w:val="20"/>
          <w:szCs w:val="21"/>
          <w:lang w:val="en-GB" w:bidi="en-GB"/>
        </w:rPr>
        <w:t>Performa vegetal lubri-coolants have the following characteristics:</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biodegradability</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molecule polarity</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diethanolamine free</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highly resistant to bacterial attacks, although they are triazine bacteria free</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E.P. chlorinated additives free</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high skin tolerability</w:t>
      </w:r>
    </w:p>
    <w:p w:rsidR="00151F0F" w:rsidRPr="00151F0F" w:rsidRDefault="00151F0F" w:rsidP="00151F0F">
      <w:pPr>
        <w:autoSpaceDE w:val="0"/>
        <w:autoSpaceDN w:val="0"/>
        <w:adjustRightInd w:val="0"/>
        <w:spacing w:after="0" w:line="240" w:lineRule="auto"/>
        <w:rPr>
          <w:rFonts w:ascii="Arial" w:hAnsi="Arial" w:cs="Arial"/>
          <w:sz w:val="20"/>
          <w:szCs w:val="21"/>
        </w:rPr>
      </w:pP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b/>
          <w:sz w:val="20"/>
          <w:szCs w:val="21"/>
          <w:lang w:val="en-GB" w:bidi="en-GB"/>
        </w:rPr>
        <w:t>Performa vegetal lubri-coolants diluted in water at the concentrations of use allow:</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recycling in single or centralised machine tool tanks</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constant stability in hard water</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foam not to form with medium hard water</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an increase in machine tool performance</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a reduction of oil consumption</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a significant reduction in the chemical and/or biological risk</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to have higher protection against oxidation on both finished parts and machine tools</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a cost reduction in oil disposal</w:t>
      </w:r>
    </w:p>
    <w:p w:rsidR="00151F0F" w:rsidRPr="00151F0F" w:rsidRDefault="00151F0F" w:rsidP="00151F0F">
      <w:pPr>
        <w:autoSpaceDE w:val="0"/>
        <w:autoSpaceDN w:val="0"/>
        <w:adjustRightInd w:val="0"/>
        <w:spacing w:after="0" w:line="240" w:lineRule="auto"/>
        <w:rPr>
          <w:rFonts w:ascii="Arial" w:hAnsi="Arial" w:cs="Arial"/>
          <w:sz w:val="20"/>
          <w:szCs w:val="21"/>
        </w:rPr>
      </w:pPr>
    </w:p>
    <w:p w:rsidR="00151F0F" w:rsidRPr="00151F0F" w:rsidRDefault="00151F0F" w:rsidP="00151F0F">
      <w:pPr>
        <w:autoSpaceDE w:val="0"/>
        <w:autoSpaceDN w:val="0"/>
        <w:adjustRightInd w:val="0"/>
        <w:spacing w:after="0" w:line="240" w:lineRule="auto"/>
        <w:rPr>
          <w:rFonts w:ascii="Arial" w:hAnsi="Arial" w:cs="Arial"/>
          <w:sz w:val="20"/>
          <w:szCs w:val="21"/>
        </w:rPr>
      </w:pPr>
    </w:p>
    <w:p w:rsidR="00151F0F" w:rsidRPr="00151F0F" w:rsidRDefault="00151F0F" w:rsidP="00151F0F">
      <w:pPr>
        <w:autoSpaceDE w:val="0"/>
        <w:autoSpaceDN w:val="0"/>
        <w:adjustRightInd w:val="0"/>
        <w:spacing w:after="0" w:line="240" w:lineRule="auto"/>
        <w:rPr>
          <w:rFonts w:ascii="Arial" w:hAnsi="Arial" w:cs="Arial"/>
          <w:b/>
          <w:bCs/>
          <w:sz w:val="20"/>
          <w:szCs w:val="21"/>
        </w:rPr>
      </w:pPr>
      <w:r w:rsidRPr="00151F0F">
        <w:rPr>
          <w:rFonts w:ascii="Arial" w:eastAsia="Arial" w:hAnsi="Arial" w:cs="Arial"/>
          <w:b/>
          <w:sz w:val="20"/>
          <w:szCs w:val="21"/>
          <w:lang w:val="en-GB" w:bidi="en-GB"/>
        </w:rPr>
        <w:t>Field of application</w:t>
      </w:r>
    </w:p>
    <w:p w:rsidR="00151F0F" w:rsidRPr="00151F0F" w:rsidRDefault="00151F0F" w:rsidP="00151F0F">
      <w:pPr>
        <w:autoSpaceDE w:val="0"/>
        <w:autoSpaceDN w:val="0"/>
        <w:adjustRightInd w:val="0"/>
        <w:spacing w:after="0" w:line="240" w:lineRule="auto"/>
        <w:rPr>
          <w:rFonts w:ascii="Arial" w:hAnsi="Arial" w:cs="Arial"/>
          <w:b/>
          <w:bCs/>
          <w:sz w:val="20"/>
          <w:szCs w:val="21"/>
        </w:rPr>
      </w:pPr>
      <w:r w:rsidRPr="00151F0F">
        <w:rPr>
          <w:rFonts w:ascii="Arial" w:eastAsia="Arial" w:hAnsi="Arial" w:cs="Arial"/>
          <w:sz w:val="20"/>
          <w:szCs w:val="21"/>
          <w:lang w:val="en-GB" w:bidi="en-GB"/>
        </w:rPr>
        <w:t xml:space="preserve"> </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b/>
          <w:sz w:val="20"/>
          <w:szCs w:val="21"/>
          <w:lang w:val="en-GB" w:bidi="en-GB"/>
        </w:rPr>
        <w:t>Performa vegetal lubri-coolants are specific to:</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replace oils prepared with minerals</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carry out grinding operations on steel and cast iron parts</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carry out removal operations on all metals</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 carry out significant removal operations on alloyed steels</w:t>
      </w:r>
    </w:p>
    <w:p w:rsidR="00151F0F" w:rsidRPr="00151F0F" w:rsidRDefault="00151F0F" w:rsidP="00151F0F">
      <w:pPr>
        <w:autoSpaceDE w:val="0"/>
        <w:autoSpaceDN w:val="0"/>
        <w:adjustRightInd w:val="0"/>
        <w:spacing w:after="0" w:line="240" w:lineRule="auto"/>
        <w:rPr>
          <w:rFonts w:ascii="Arial" w:hAnsi="Arial" w:cs="Arial"/>
          <w:sz w:val="20"/>
          <w:szCs w:val="21"/>
        </w:rPr>
      </w:pP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Performa vegetal stabilised biodegradable basis of lubri-coolants have a molecular structure called “polar”, which is arranged regularly on the surface of the part being worked, differently from the behaviour of the traditional mineral oils.</w:t>
      </w:r>
    </w:p>
    <w:p w:rsidR="00151F0F" w:rsidRPr="00151F0F" w:rsidRDefault="00151F0F" w:rsidP="00151F0F">
      <w:pPr>
        <w:autoSpaceDE w:val="0"/>
        <w:autoSpaceDN w:val="0"/>
        <w:adjustRightInd w:val="0"/>
        <w:spacing w:after="0" w:line="240" w:lineRule="auto"/>
        <w:rPr>
          <w:rFonts w:ascii="Arial" w:hAnsi="Arial" w:cs="Arial"/>
          <w:sz w:val="20"/>
          <w:szCs w:val="21"/>
        </w:rPr>
      </w:pPr>
      <w:r w:rsidRPr="00151F0F">
        <w:rPr>
          <w:rFonts w:ascii="Arial" w:eastAsia="Arial" w:hAnsi="Arial" w:cs="Arial"/>
          <w:sz w:val="20"/>
          <w:szCs w:val="21"/>
          <w:lang w:val="en-GB" w:bidi="en-GB"/>
        </w:rPr>
        <w:t>This crucial characteristic, very similar to the surface of the metal being worked, allows to reach better global results in reducing consumption, in the wear of tools and working time, with the same mechanical works.</w:t>
      </w:r>
    </w:p>
    <w:p w:rsidR="00CE52DE" w:rsidRDefault="00CE52DE" w:rsidP="005F682E">
      <w:pPr>
        <w:rPr>
          <w:rFonts w:ascii="Arial" w:hAnsi="Arial" w:cs="Arial"/>
          <w:sz w:val="20"/>
          <w:szCs w:val="20"/>
        </w:rPr>
      </w:pPr>
    </w:p>
    <w:p w:rsidR="00151F0F" w:rsidRDefault="00151F0F" w:rsidP="005F682E">
      <w:pPr>
        <w:rPr>
          <w:rFonts w:ascii="Arial" w:hAnsi="Arial" w:cs="Arial"/>
          <w:sz w:val="20"/>
          <w:szCs w:val="20"/>
        </w:rPr>
      </w:pPr>
    </w:p>
    <w:p w:rsidR="00151F0F" w:rsidRDefault="00151F0F" w:rsidP="005F682E">
      <w:pPr>
        <w:rPr>
          <w:rFonts w:ascii="Arial" w:hAnsi="Arial" w:cs="Arial"/>
          <w:sz w:val="20"/>
          <w:szCs w:val="20"/>
        </w:rPr>
      </w:pPr>
    </w:p>
    <w:p w:rsidR="00151F0F" w:rsidRDefault="00151F0F" w:rsidP="005F682E">
      <w:pPr>
        <w:rPr>
          <w:rFonts w:ascii="Arial" w:hAnsi="Arial" w:cs="Arial"/>
          <w:sz w:val="20"/>
          <w:szCs w:val="20"/>
        </w:rPr>
      </w:pPr>
    </w:p>
    <w:p w:rsidR="00151F0F" w:rsidRDefault="00151F0F" w:rsidP="005F682E">
      <w:pPr>
        <w:rPr>
          <w:rFonts w:ascii="Arial" w:hAnsi="Arial" w:cs="Arial"/>
          <w:sz w:val="20"/>
          <w:szCs w:val="20"/>
        </w:rPr>
      </w:pPr>
    </w:p>
    <w:p w:rsidR="00151F0F" w:rsidRDefault="00151F0F" w:rsidP="00151F0F">
      <w:pPr>
        <w:jc w:val="center"/>
        <w:rPr>
          <w:rFonts w:ascii="Arial" w:hAnsi="Arial" w:cs="Arial"/>
          <w:b/>
        </w:rPr>
      </w:pPr>
      <w:r w:rsidRPr="00DA4C9A">
        <w:rPr>
          <w:rFonts w:ascii="Arial" w:eastAsia="Arial" w:hAnsi="Arial" w:cs="Arial"/>
          <w:b/>
          <w:lang w:val="en-GB" w:bidi="en-GB"/>
        </w:rPr>
        <w:lastRenderedPageBreak/>
        <w:t>TECHNICAL DATA SHEET</w:t>
      </w:r>
    </w:p>
    <w:p w:rsidR="00151F0F" w:rsidRPr="00E8207B" w:rsidRDefault="00151F0F" w:rsidP="00151F0F">
      <w:pPr>
        <w:spacing w:after="0" w:line="240" w:lineRule="auto"/>
        <w:jc w:val="center"/>
        <w:rPr>
          <w:rFonts w:ascii="Arial" w:hAnsi="Arial" w:cs="Arial"/>
          <w:b/>
          <w:i/>
          <w:sz w:val="50"/>
          <w:szCs w:val="50"/>
        </w:rPr>
      </w:pPr>
      <w:r w:rsidRPr="00E8207B">
        <w:rPr>
          <w:rFonts w:ascii="Arial" w:eastAsia="Arial" w:hAnsi="Arial" w:cs="Arial"/>
          <w:b/>
          <w:i/>
          <w:sz w:val="50"/>
          <w:szCs w:val="50"/>
          <w:lang w:val="en-GB" w:bidi="en-GB"/>
        </w:rPr>
        <w:t xml:space="preserve">Soluble lubri-coolant fluids </w:t>
      </w:r>
    </w:p>
    <w:p w:rsidR="00151F0F" w:rsidRPr="005F682E" w:rsidRDefault="00151F0F" w:rsidP="00151F0F">
      <w:pPr>
        <w:spacing w:after="0" w:line="240" w:lineRule="auto"/>
        <w:jc w:val="center"/>
        <w:rPr>
          <w:rFonts w:ascii="Arial" w:hAnsi="Arial" w:cs="Arial"/>
          <w:b/>
          <w:i/>
          <w:color w:val="0070C0"/>
          <w:sz w:val="18"/>
          <w:szCs w:val="18"/>
        </w:rPr>
      </w:pPr>
      <w:r w:rsidRPr="00E8207B">
        <w:rPr>
          <w:rFonts w:ascii="Arial" w:eastAsia="Arial" w:hAnsi="Arial" w:cs="Arial"/>
          <w:b/>
          <w:i/>
          <w:sz w:val="50"/>
          <w:szCs w:val="50"/>
          <w:lang w:val="en-GB" w:bidi="en-GB"/>
        </w:rPr>
        <w:t>Performa</w:t>
      </w:r>
      <w:r w:rsidRPr="00E8207B">
        <w:rPr>
          <w:rFonts w:ascii="Arial" w:eastAsia="Arial" w:hAnsi="Arial" w:cs="Arial"/>
          <w:b/>
          <w:i/>
          <w:sz w:val="50"/>
          <w:szCs w:val="50"/>
          <w:lang w:val="en-GB" w:bidi="en-GB"/>
        </w:rPr>
        <w:br/>
      </w:r>
    </w:p>
    <w:p w:rsidR="00432240" w:rsidRPr="00E8207B" w:rsidRDefault="00432240" w:rsidP="00432240">
      <w:pPr>
        <w:spacing w:line="240" w:lineRule="auto"/>
        <w:jc w:val="center"/>
        <w:rPr>
          <w:rFonts w:ascii="Arial" w:hAnsi="Arial" w:cs="Arial"/>
          <w:b/>
          <w:i/>
          <w:sz w:val="28"/>
          <w:szCs w:val="28"/>
        </w:rPr>
      </w:pPr>
      <w:r>
        <w:rPr>
          <w:rFonts w:ascii="Arial" w:eastAsia="Arial" w:hAnsi="Arial" w:cs="Arial"/>
          <w:b/>
          <w:i/>
          <w:sz w:val="28"/>
          <w:szCs w:val="28"/>
          <w:lang w:val="en-GB" w:bidi="en-GB"/>
        </w:rPr>
        <w:t>with a basis coming from renewable sources</w:t>
      </w:r>
    </w:p>
    <w:p w:rsidR="00F05702" w:rsidRDefault="00F05702" w:rsidP="005F682E">
      <w:pPr>
        <w:rPr>
          <w:rFonts w:ascii="Arial" w:hAnsi="Arial" w:cs="Arial"/>
          <w:b/>
          <w:sz w:val="20"/>
          <w:szCs w:val="20"/>
        </w:rPr>
      </w:pPr>
    </w:p>
    <w:p w:rsidR="00CE52DE" w:rsidRPr="006317FE" w:rsidRDefault="006317FE" w:rsidP="005F682E">
      <w:pPr>
        <w:rPr>
          <w:rFonts w:ascii="Arial" w:hAnsi="Arial" w:cs="Arial"/>
          <w:b/>
          <w:sz w:val="20"/>
          <w:szCs w:val="20"/>
        </w:rPr>
      </w:pPr>
      <w:r>
        <w:rPr>
          <w:rFonts w:ascii="Arial" w:eastAsia="Arial" w:hAnsi="Arial" w:cs="Arial"/>
          <w:b/>
          <w:sz w:val="20"/>
          <w:szCs w:val="20"/>
          <w:lang w:val="en-GB" w:bidi="en-GB"/>
        </w:rPr>
        <w:t>Main characteristics of multi-purpose preparations</w:t>
      </w:r>
    </w:p>
    <w:p w:rsidR="00CE52DE" w:rsidRDefault="00E52118" w:rsidP="005F682E">
      <w:pPr>
        <w:rPr>
          <w:rFonts w:ascii="Arial" w:hAnsi="Arial" w:cs="Arial"/>
          <w:sz w:val="20"/>
          <w:szCs w:val="20"/>
        </w:rPr>
      </w:pPr>
      <w:r>
        <w:rPr>
          <w:rFonts w:ascii="Arial" w:hAnsi="Arial" w:cs="Arial"/>
          <w:noProof/>
          <w:sz w:val="20"/>
          <w:szCs w:val="20"/>
          <w:lang w:val="it-IT" w:eastAsia="it-IT"/>
        </w:rPr>
        <w:drawing>
          <wp:inline distT="0" distB="0" distL="0" distR="0">
            <wp:extent cx="6120130" cy="65278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ella Performa Vegetali.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0130" cy="652780"/>
                    </a:xfrm>
                    <a:prstGeom prst="rect">
                      <a:avLst/>
                    </a:prstGeom>
                  </pic:spPr>
                </pic:pic>
              </a:graphicData>
            </a:graphic>
          </wp:inline>
        </w:drawing>
      </w:r>
    </w:p>
    <w:p w:rsidR="00297A54" w:rsidRDefault="00297A54" w:rsidP="005F682E">
      <w:pPr>
        <w:rPr>
          <w:rFonts w:ascii="Arial" w:hAnsi="Arial" w:cs="Arial"/>
          <w:sz w:val="20"/>
          <w:szCs w:val="20"/>
        </w:rPr>
      </w:pPr>
    </w:p>
    <w:p w:rsidR="00297A54" w:rsidRPr="007F0B0C" w:rsidRDefault="007F0B0C" w:rsidP="005F682E">
      <w:pPr>
        <w:rPr>
          <w:rFonts w:ascii="Arial" w:hAnsi="Arial" w:cs="Arial"/>
          <w:b/>
          <w:sz w:val="20"/>
          <w:szCs w:val="20"/>
        </w:rPr>
      </w:pPr>
      <w:r w:rsidRPr="007F0B0C">
        <w:rPr>
          <w:rFonts w:ascii="Arial" w:eastAsia="Arial" w:hAnsi="Arial" w:cs="Arial"/>
          <w:b/>
          <w:sz w:val="20"/>
          <w:szCs w:val="20"/>
          <w:lang w:val="en-GB" w:bidi="en-GB"/>
        </w:rPr>
        <w:t>Application guide</w:t>
      </w:r>
    </w:p>
    <w:p w:rsidR="00297A54" w:rsidRDefault="000A0914" w:rsidP="005F682E">
      <w:pPr>
        <w:rPr>
          <w:rFonts w:ascii="Arial" w:hAnsi="Arial" w:cs="Arial"/>
          <w:sz w:val="20"/>
          <w:szCs w:val="20"/>
        </w:rPr>
      </w:pPr>
      <w:r>
        <w:rPr>
          <w:rFonts w:ascii="Arial" w:hAnsi="Arial" w:cs="Arial"/>
          <w:noProof/>
          <w:sz w:val="20"/>
          <w:szCs w:val="20"/>
          <w:lang w:val="it-IT" w:eastAsia="it-IT"/>
        </w:rPr>
        <w:drawing>
          <wp:inline distT="0" distB="0" distL="0" distR="0">
            <wp:extent cx="6120130" cy="99441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a applicativa Performa_vegetal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994410"/>
                    </a:xfrm>
                    <a:prstGeom prst="rect">
                      <a:avLst/>
                    </a:prstGeom>
                  </pic:spPr>
                </pic:pic>
              </a:graphicData>
            </a:graphic>
          </wp:inline>
        </w:drawing>
      </w:r>
    </w:p>
    <w:p w:rsidR="00351055" w:rsidRDefault="00351055" w:rsidP="005F682E">
      <w:pPr>
        <w:rPr>
          <w:rFonts w:ascii="Arial" w:hAnsi="Arial" w:cs="Arial"/>
          <w:sz w:val="20"/>
          <w:szCs w:val="20"/>
        </w:rPr>
      </w:pPr>
    </w:p>
    <w:p w:rsidR="00351055" w:rsidRPr="005F682E" w:rsidRDefault="000A0914" w:rsidP="005F682E">
      <w:pPr>
        <w:rPr>
          <w:rFonts w:ascii="Arial" w:hAnsi="Arial" w:cs="Arial"/>
          <w:sz w:val="20"/>
          <w:szCs w:val="20"/>
        </w:rPr>
      </w:pPr>
      <w:bookmarkStart w:id="0" w:name="_GoBack"/>
      <w:r>
        <w:rPr>
          <w:rFonts w:ascii="Arial" w:hAnsi="Arial" w:cs="Arial"/>
          <w:noProof/>
          <w:sz w:val="20"/>
          <w:szCs w:val="20"/>
          <w:lang w:val="it-IT" w:eastAsia="it-IT"/>
        </w:rPr>
        <w:drawing>
          <wp:inline distT="0" distB="0" distL="0" distR="0">
            <wp:extent cx="3075432" cy="1368552"/>
            <wp:effectExtent l="0" t="0" r="0" b="317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genda_Guida applicativa Perform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5432" cy="1368552"/>
                    </a:xfrm>
                    <a:prstGeom prst="rect">
                      <a:avLst/>
                    </a:prstGeom>
                  </pic:spPr>
                </pic:pic>
              </a:graphicData>
            </a:graphic>
          </wp:inline>
        </w:drawing>
      </w:r>
      <w:bookmarkEnd w:id="0"/>
    </w:p>
    <w:sectPr w:rsidR="00351055" w:rsidRPr="005F682E" w:rsidSect="006A4CD3">
      <w:headerReference w:type="default" r:id="rId10"/>
      <w:footerReference w:type="default" r:id="rId11"/>
      <w:pgSz w:w="11906" w:h="16838"/>
      <w:pgMar w:top="1417" w:right="1134" w:bottom="1134" w:left="1134" w:header="51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B4C" w:rsidRDefault="00643B4C" w:rsidP="00317A86">
      <w:pPr>
        <w:spacing w:after="0" w:line="240" w:lineRule="auto"/>
      </w:pPr>
      <w:r>
        <w:separator/>
      </w:r>
    </w:p>
  </w:endnote>
  <w:endnote w:type="continuationSeparator" w:id="0">
    <w:p w:rsidR="00643B4C" w:rsidRDefault="00643B4C" w:rsidP="00317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CD3" w:rsidRPr="00E52118" w:rsidRDefault="006A4CD3" w:rsidP="006A4CD3">
    <w:pPr>
      <w:pStyle w:val="Pidipagina"/>
      <w:jc w:val="center"/>
      <w:rPr>
        <w:sz w:val="18"/>
        <w:szCs w:val="18"/>
        <w:lang w:val="it-IT"/>
      </w:rPr>
    </w:pPr>
    <w:r w:rsidRPr="00E52118">
      <w:rPr>
        <w:b/>
        <w:sz w:val="18"/>
        <w:szCs w:val="18"/>
        <w:lang w:val="it-IT" w:bidi="en-GB"/>
      </w:rPr>
      <w:t xml:space="preserve">CENTRO DISTRIBUZIONE UTENSILI S.C.P.A. </w:t>
    </w:r>
  </w:p>
  <w:p w:rsidR="006A4CD3" w:rsidRPr="00E52118" w:rsidRDefault="006A4CD3" w:rsidP="006A4CD3">
    <w:pPr>
      <w:pStyle w:val="Pidipagina"/>
      <w:jc w:val="center"/>
      <w:rPr>
        <w:sz w:val="18"/>
        <w:szCs w:val="18"/>
        <w:lang w:val="it-IT"/>
      </w:rPr>
    </w:pPr>
    <w:r w:rsidRPr="00E52118">
      <w:rPr>
        <w:sz w:val="18"/>
        <w:szCs w:val="18"/>
        <w:lang w:val="it-IT" w:bidi="en-GB"/>
      </w:rPr>
      <w:t>Via delle Gerole, 19 – 20867 Caponago (MB) – Italy</w:t>
    </w:r>
  </w:p>
  <w:p w:rsidR="006A4CD3" w:rsidRPr="006A4CD3" w:rsidRDefault="006A4CD3" w:rsidP="006A4CD3">
    <w:pPr>
      <w:pStyle w:val="Pidipagina"/>
      <w:jc w:val="center"/>
      <w:rPr>
        <w:sz w:val="18"/>
        <w:szCs w:val="18"/>
      </w:rPr>
    </w:pPr>
    <w:r>
      <w:rPr>
        <w:sz w:val="18"/>
        <w:szCs w:val="18"/>
        <w:lang w:val="en-GB" w:bidi="en-GB"/>
      </w:rPr>
      <w:t>Tel. +39 02 95746081 - Fax +39 02 95745182</w:t>
    </w:r>
  </w:p>
  <w:p w:rsidR="00317A86" w:rsidRPr="006A4CD3" w:rsidRDefault="00317A86">
    <w:pPr>
      <w:pStyle w:val="Pidipagin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B4C" w:rsidRDefault="00643B4C" w:rsidP="00317A86">
      <w:pPr>
        <w:spacing w:after="0" w:line="240" w:lineRule="auto"/>
      </w:pPr>
      <w:r>
        <w:separator/>
      </w:r>
    </w:p>
  </w:footnote>
  <w:footnote w:type="continuationSeparator" w:id="0">
    <w:p w:rsidR="00643B4C" w:rsidRDefault="00643B4C" w:rsidP="00317A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86" w:rsidRDefault="00DD3677">
    <w:pPr>
      <w:pStyle w:val="Intestazione"/>
    </w:pPr>
    <w:r>
      <w:rPr>
        <w:noProof/>
        <w:lang w:val="it-IT" w:eastAsia="it-IT"/>
      </w:rPr>
      <w:drawing>
        <wp:anchor distT="0" distB="0" distL="114300" distR="114300" simplePos="0" relativeHeight="251658240" behindDoc="0" locked="0" layoutInCell="1" allowOverlap="1" wp14:anchorId="0FCA1F04" wp14:editId="5814880F">
          <wp:simplePos x="0" y="0"/>
          <wp:positionH relativeFrom="column">
            <wp:posOffset>-424815</wp:posOffset>
          </wp:positionH>
          <wp:positionV relativeFrom="paragraph">
            <wp:posOffset>-28575</wp:posOffset>
          </wp:positionV>
          <wp:extent cx="1609725" cy="568137"/>
          <wp:effectExtent l="0" t="0" r="0" b="3810"/>
          <wp:wrapNone/>
          <wp:docPr id="4" name="Immagine 4" descr="F:\SCHEDE DI SICUREZZA, TECNICHE, MANUALI USO, DICHIARAZIONI CE\Schede di sicurezza\Performa\_Lavorazioni\Logo da usare\logo Sc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CHEDE DI SICUREZZA, TECNICHE, MANUALI USO, DICHIARAZIONI CE\Schede di sicurezza\Performa\_Lavorazioni\Logo da usare\logo Sc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568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7EF"/>
    <w:rsid w:val="000A0914"/>
    <w:rsid w:val="00151F0F"/>
    <w:rsid w:val="00267B0B"/>
    <w:rsid w:val="00297A54"/>
    <w:rsid w:val="002F474E"/>
    <w:rsid w:val="00317A86"/>
    <w:rsid w:val="00351055"/>
    <w:rsid w:val="004301D8"/>
    <w:rsid w:val="00432240"/>
    <w:rsid w:val="0048187A"/>
    <w:rsid w:val="004E1386"/>
    <w:rsid w:val="00522C97"/>
    <w:rsid w:val="005F682E"/>
    <w:rsid w:val="006317FE"/>
    <w:rsid w:val="00643B4C"/>
    <w:rsid w:val="006515D6"/>
    <w:rsid w:val="006A4CD3"/>
    <w:rsid w:val="007F0B0C"/>
    <w:rsid w:val="00877AE4"/>
    <w:rsid w:val="00997A75"/>
    <w:rsid w:val="009F2FBE"/>
    <w:rsid w:val="00A347C2"/>
    <w:rsid w:val="00A8373B"/>
    <w:rsid w:val="00A85B30"/>
    <w:rsid w:val="00B61CFD"/>
    <w:rsid w:val="00C151A7"/>
    <w:rsid w:val="00C36042"/>
    <w:rsid w:val="00CE52DE"/>
    <w:rsid w:val="00DA4C9A"/>
    <w:rsid w:val="00DD3677"/>
    <w:rsid w:val="00E52118"/>
    <w:rsid w:val="00E6395F"/>
    <w:rsid w:val="00E8207B"/>
    <w:rsid w:val="00EE3907"/>
    <w:rsid w:val="00F05702"/>
    <w:rsid w:val="00F677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A54"/>
    <w:rPr>
      <w:rFonts w:ascii="Tahoma" w:hAnsi="Tahoma" w:cs="Tahoma"/>
      <w:sz w:val="16"/>
      <w:szCs w:val="16"/>
    </w:rPr>
  </w:style>
  <w:style w:type="paragraph" w:styleId="Intestazione">
    <w:name w:val="header"/>
    <w:basedOn w:val="Normale"/>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7A86"/>
  </w:style>
  <w:style w:type="paragraph" w:styleId="Pidipagina">
    <w:name w:val="footer"/>
    <w:basedOn w:val="Normale"/>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7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A54"/>
    <w:rPr>
      <w:rFonts w:ascii="Tahoma" w:hAnsi="Tahoma" w:cs="Tahoma"/>
      <w:sz w:val="16"/>
      <w:szCs w:val="16"/>
    </w:rPr>
  </w:style>
  <w:style w:type="paragraph" w:styleId="Intestazione">
    <w:name w:val="header"/>
    <w:basedOn w:val="Normale"/>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7A86"/>
  </w:style>
  <w:style w:type="paragraph" w:styleId="Pidipagina">
    <w:name w:val="footer"/>
    <w:basedOn w:val="Normale"/>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7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312</Words>
  <Characters>1783</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Brambilla</dc:creator>
  <cp:lastModifiedBy>Roberta Brambilla</cp:lastModifiedBy>
  <cp:revision>31</cp:revision>
  <dcterms:created xsi:type="dcterms:W3CDTF">2016-09-27T06:51:00Z</dcterms:created>
  <dcterms:modified xsi:type="dcterms:W3CDTF">2017-06-07T15:11:00Z</dcterms:modified>
</cp:coreProperties>
</file>